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1B5AF" w14:textId="5CB4C315" w:rsidR="008D1E2E" w:rsidRDefault="008D1E2E" w:rsidP="008D1E2E">
      <w:pPr>
        <w:spacing w:after="120" w:line="240" w:lineRule="auto"/>
        <w:jc w:val="center"/>
        <w:rPr>
          <w:rFonts w:ascii="Bookman Old Style" w:eastAsia="Arial" w:hAnsi="Bookman Old Style" w:cs="Arial"/>
          <w:b/>
          <w:color w:val="000000"/>
          <w:sz w:val="24"/>
          <w:szCs w:val="24"/>
        </w:rPr>
      </w:pPr>
      <w:r w:rsidRPr="008A5529">
        <w:rPr>
          <w:rFonts w:ascii="Bookman Old Style" w:hAnsi="Bookman Old Style"/>
          <w:sz w:val="24"/>
          <w:szCs w:val="24"/>
        </w:rPr>
        <w:t xml:space="preserve">     </w:t>
      </w:r>
      <w:r w:rsidRPr="008A5529">
        <w:rPr>
          <w:rFonts w:ascii="Bookman Old Style" w:eastAsia="Arial" w:hAnsi="Bookman Old Style" w:cs="Arial"/>
          <w:b/>
          <w:color w:val="000000"/>
          <w:sz w:val="24"/>
          <w:szCs w:val="24"/>
        </w:rPr>
        <w:t>TERMO DE REFERÊNCIA</w:t>
      </w:r>
    </w:p>
    <w:p w14:paraId="7063C5CD" w14:textId="77777777" w:rsidR="008D1E2E" w:rsidRPr="008A5529" w:rsidRDefault="008D1E2E" w:rsidP="008D1E2E">
      <w:pPr>
        <w:spacing w:after="120" w:line="240" w:lineRule="auto"/>
        <w:jc w:val="center"/>
        <w:rPr>
          <w:rFonts w:ascii="Bookman Old Style" w:eastAsia="Arial" w:hAnsi="Bookman Old Style" w:cs="Arial"/>
          <w:b/>
          <w:sz w:val="24"/>
          <w:szCs w:val="24"/>
        </w:rPr>
      </w:pPr>
    </w:p>
    <w:p w14:paraId="3EA83166"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OBJETO</w:t>
      </w:r>
    </w:p>
    <w:p w14:paraId="557BED7F"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E52FA01" w14:textId="77777777" w:rsidR="008D1E2E" w:rsidRPr="008A5529" w:rsidRDefault="008D1E2E" w:rsidP="008D1E2E">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Definição do objeto:</w:t>
      </w:r>
    </w:p>
    <w:p w14:paraId="204DBC2D" w14:textId="3DB17BEF" w:rsidR="008D1E2E" w:rsidRPr="008A5529" w:rsidRDefault="008577E7" w:rsidP="00B82AAA">
      <w:pPr>
        <w:jc w:val="both"/>
        <w:rPr>
          <w:rFonts w:ascii="Bookman Old Style" w:eastAsia="Arial" w:hAnsi="Bookman Old Style" w:cs="Arial"/>
          <w:sz w:val="24"/>
          <w:szCs w:val="24"/>
        </w:rPr>
      </w:pPr>
      <w:r w:rsidRPr="008577E7">
        <w:rPr>
          <w:rFonts w:ascii="Bookman Old Style" w:eastAsia="Arial" w:hAnsi="Bookman Old Style" w:cs="Arial"/>
          <w:color w:val="000000"/>
          <w:sz w:val="24"/>
          <w:szCs w:val="24"/>
        </w:rPr>
        <w:t xml:space="preserve">Aquisição de Container </w:t>
      </w:r>
      <w:r w:rsidR="00016DBC">
        <w:rPr>
          <w:rFonts w:ascii="Bookman Old Style" w:eastAsia="Arial" w:hAnsi="Bookman Old Style" w:cs="Arial"/>
          <w:color w:val="000000"/>
          <w:sz w:val="24"/>
          <w:szCs w:val="24"/>
        </w:rPr>
        <w:t>adaptado</w:t>
      </w:r>
      <w:r w:rsidR="00992698">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bem como</w:t>
      </w:r>
      <w:r w:rsidRPr="008577E7">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m</w:t>
      </w:r>
      <w:r w:rsidRPr="008577E7">
        <w:rPr>
          <w:rFonts w:ascii="Bookman Old Style" w:eastAsia="Arial" w:hAnsi="Bookman Old Style" w:cs="Arial"/>
          <w:color w:val="000000"/>
          <w:sz w:val="24"/>
          <w:szCs w:val="24"/>
        </w:rPr>
        <w:t>obiliário</w:t>
      </w:r>
      <w:r w:rsidR="00A2716D">
        <w:rPr>
          <w:rFonts w:ascii="Bookman Old Style" w:eastAsia="Arial" w:hAnsi="Bookman Old Style" w:cs="Arial"/>
          <w:color w:val="000000"/>
          <w:sz w:val="24"/>
          <w:szCs w:val="24"/>
        </w:rPr>
        <w:t xml:space="preserve"> sob medida com instalação</w:t>
      </w:r>
      <w:r w:rsidR="00864950">
        <w:rPr>
          <w:rFonts w:ascii="Bookman Old Style" w:eastAsia="Arial" w:hAnsi="Bookman Old Style" w:cs="Arial"/>
          <w:color w:val="000000"/>
          <w:sz w:val="24"/>
          <w:szCs w:val="24"/>
        </w:rPr>
        <w:t xml:space="preserve"> </w:t>
      </w:r>
      <w:r w:rsidR="00992698">
        <w:rPr>
          <w:rFonts w:ascii="Bookman Old Style" w:eastAsia="Arial" w:hAnsi="Bookman Old Style" w:cs="Arial"/>
          <w:color w:val="000000"/>
          <w:sz w:val="24"/>
          <w:szCs w:val="24"/>
        </w:rPr>
        <w:t xml:space="preserve">para implementação </w:t>
      </w:r>
      <w:r w:rsidR="00EC005A" w:rsidRPr="00EC005A">
        <w:rPr>
          <w:rFonts w:ascii="Bookman Old Style" w:eastAsia="Arial" w:hAnsi="Bookman Old Style" w:cs="Arial"/>
          <w:color w:val="000000"/>
          <w:sz w:val="24"/>
          <w:szCs w:val="24"/>
        </w:rPr>
        <w:t xml:space="preserve">de uma Biblioteca Pública Municipal no formato container, destinada a atender às necessidades da Secretaria de Cultura, Esportes e Turismo do Município de Cordilheira Alta, SC. </w:t>
      </w:r>
      <w:r w:rsidR="00992698">
        <w:rPr>
          <w:rFonts w:ascii="Bookman Old Style" w:eastAsia="Arial" w:hAnsi="Bookman Old Style" w:cs="Arial"/>
          <w:color w:val="000000"/>
          <w:sz w:val="24"/>
          <w:szCs w:val="24"/>
        </w:rPr>
        <w:t xml:space="preserve">A aquisição será feita </w:t>
      </w:r>
      <w:r w:rsidR="008D1E2E" w:rsidRPr="008A5529">
        <w:rPr>
          <w:rFonts w:ascii="Bookman Old Style" w:eastAsia="Arial" w:hAnsi="Bookman Old Style" w:cs="Arial"/>
          <w:color w:val="000000"/>
          <w:sz w:val="24"/>
          <w:szCs w:val="24"/>
        </w:rPr>
        <w:t>nos termos da tabela abaixo, conforme condições e exigências estabelecidas neste instrumento.</w:t>
      </w:r>
      <w:r w:rsidR="00E07B93" w:rsidRPr="00E07B93">
        <w:t xml:space="preserve"> </w:t>
      </w:r>
    </w:p>
    <w:p w14:paraId="6138CC95" w14:textId="25924020" w:rsidR="008D1E2E" w:rsidRDefault="008D1E2E" w:rsidP="008D1E2E">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Estimativa das quantidades:</w:t>
      </w:r>
    </w:p>
    <w:p w14:paraId="2D9E3F55" w14:textId="77777777" w:rsidR="002B4C19" w:rsidRDefault="002B4C19" w:rsidP="002B4C19">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Estimativa das quantidades:</w:t>
      </w:r>
    </w:p>
    <w:p w14:paraId="2AF0651D" w14:textId="77777777" w:rsidR="002B4C19" w:rsidRPr="00016DBC" w:rsidRDefault="002B4C19" w:rsidP="002B4C19">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Item 1 – Container Adaptado</w:t>
      </w:r>
    </w:p>
    <w:tbl>
      <w:tblPr>
        <w:tblStyle w:val="Tabelacomgrade"/>
        <w:tblW w:w="9209" w:type="dxa"/>
        <w:tblLook w:val="04A0" w:firstRow="1" w:lastRow="0" w:firstColumn="1" w:lastColumn="0" w:noHBand="0" w:noVBand="1"/>
      </w:tblPr>
      <w:tblGrid>
        <w:gridCol w:w="876"/>
        <w:gridCol w:w="2294"/>
        <w:gridCol w:w="1252"/>
        <w:gridCol w:w="1181"/>
        <w:gridCol w:w="1733"/>
        <w:gridCol w:w="1873"/>
      </w:tblGrid>
      <w:tr w:rsidR="002B4C19" w14:paraId="47632FA5" w14:textId="77777777" w:rsidTr="00495DC7">
        <w:tc>
          <w:tcPr>
            <w:tcW w:w="876" w:type="dxa"/>
            <w:vAlign w:val="center"/>
          </w:tcPr>
          <w:p w14:paraId="6363DD14"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ITEM</w:t>
            </w:r>
          </w:p>
        </w:tc>
        <w:tc>
          <w:tcPr>
            <w:tcW w:w="2296" w:type="dxa"/>
            <w:vAlign w:val="center"/>
          </w:tcPr>
          <w:p w14:paraId="0925366A"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ESPECIFICAÇÃO</w:t>
            </w:r>
          </w:p>
        </w:tc>
        <w:tc>
          <w:tcPr>
            <w:tcW w:w="1254" w:type="dxa"/>
            <w:vAlign w:val="center"/>
          </w:tcPr>
          <w:p w14:paraId="73A5346E"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UNID.</w:t>
            </w:r>
          </w:p>
        </w:tc>
        <w:tc>
          <w:tcPr>
            <w:tcW w:w="1182" w:type="dxa"/>
            <w:vAlign w:val="center"/>
          </w:tcPr>
          <w:p w14:paraId="23D95B72"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QUANT.</w:t>
            </w:r>
          </w:p>
        </w:tc>
        <w:tc>
          <w:tcPr>
            <w:tcW w:w="1727" w:type="dxa"/>
            <w:vAlign w:val="center"/>
          </w:tcPr>
          <w:p w14:paraId="6495E513"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 xml:space="preserve">VALOR </w:t>
            </w:r>
            <w:r w:rsidRPr="0026701C">
              <w:rPr>
                <w:rFonts w:ascii="Bookman Old Style" w:eastAsia="Arial" w:hAnsi="Bookman Old Style" w:cs="Arial"/>
                <w:b/>
                <w:sz w:val="20"/>
                <w:szCs w:val="20"/>
              </w:rPr>
              <w:t>UNIT.</w:t>
            </w:r>
          </w:p>
        </w:tc>
        <w:tc>
          <w:tcPr>
            <w:tcW w:w="1874" w:type="dxa"/>
            <w:vAlign w:val="center"/>
          </w:tcPr>
          <w:p w14:paraId="658200BD"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VALOR TOTAL</w:t>
            </w:r>
          </w:p>
        </w:tc>
      </w:tr>
      <w:tr w:rsidR="002B4C19" w14:paraId="40E23500" w14:textId="77777777" w:rsidTr="00495DC7">
        <w:trPr>
          <w:trHeight w:val="616"/>
        </w:trPr>
        <w:tc>
          <w:tcPr>
            <w:tcW w:w="876" w:type="dxa"/>
          </w:tcPr>
          <w:p w14:paraId="4327B6BE"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2296" w:type="dxa"/>
          </w:tcPr>
          <w:p w14:paraId="659A5CC8"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 xml:space="preserve">Container </w:t>
            </w:r>
            <w:proofErr w:type="spellStart"/>
            <w:r w:rsidRPr="0026697B">
              <w:rPr>
                <w:rFonts w:ascii="Bookman Old Style" w:eastAsia="Arial" w:hAnsi="Bookman Old Style" w:cs="Arial"/>
                <w:color w:val="000000"/>
                <w:sz w:val="24"/>
                <w:szCs w:val="24"/>
              </w:rPr>
              <w:t>Reefer</w:t>
            </w:r>
            <w:proofErr w:type="spellEnd"/>
            <w:r w:rsidRPr="0026697B">
              <w:rPr>
                <w:rFonts w:ascii="Bookman Old Style" w:eastAsia="Arial" w:hAnsi="Bookman Old Style" w:cs="Arial"/>
                <w:color w:val="000000"/>
                <w:sz w:val="24"/>
                <w:szCs w:val="24"/>
              </w:rPr>
              <w:t xml:space="preserve"> 40” Pés</w:t>
            </w:r>
          </w:p>
          <w:p w14:paraId="6DE6429D"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Medidas externas:</w:t>
            </w:r>
          </w:p>
          <w:p w14:paraId="359678B2"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12,19 Metros de Comprimento; 2,44 Metros de Largura;</w:t>
            </w:r>
          </w:p>
          <w:p w14:paraId="68A121A6"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2,90 Metros de Altura;</w:t>
            </w:r>
          </w:p>
          <w:p w14:paraId="0894C71B"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Medidas internas:</w:t>
            </w:r>
          </w:p>
          <w:p w14:paraId="4EA71C91"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11,80 Metros de Comprimento; 2,30 Metros de Largura;</w:t>
            </w:r>
          </w:p>
          <w:p w14:paraId="7BFFC4A2" w14:textId="77777777" w:rsidR="002B4C19" w:rsidRPr="0026697B" w:rsidRDefault="002B4C19" w:rsidP="00495DC7">
            <w:pPr>
              <w:spacing w:after="120" w:line="240" w:lineRule="auto"/>
              <w:jc w:val="both"/>
              <w:rPr>
                <w:rFonts w:ascii="Bookman Old Style" w:eastAsia="Arial" w:hAnsi="Bookman Old Style" w:cs="Arial"/>
                <w:color w:val="000000"/>
                <w:sz w:val="24"/>
                <w:szCs w:val="24"/>
              </w:rPr>
            </w:pPr>
            <w:r w:rsidRPr="0026697B">
              <w:rPr>
                <w:rFonts w:ascii="Bookman Old Style" w:eastAsia="Arial" w:hAnsi="Bookman Old Style" w:cs="Arial"/>
                <w:color w:val="000000"/>
                <w:sz w:val="24"/>
                <w:szCs w:val="24"/>
              </w:rPr>
              <w:t>2,50 Metros de Altura;</w:t>
            </w:r>
          </w:p>
          <w:p w14:paraId="1E277284"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F</w:t>
            </w:r>
            <w:r w:rsidRPr="0026697B">
              <w:rPr>
                <w:rFonts w:ascii="Bookman Old Style" w:eastAsia="Arial" w:hAnsi="Bookman Old Style" w:cs="Arial"/>
                <w:color w:val="000000"/>
                <w:sz w:val="24"/>
                <w:szCs w:val="24"/>
              </w:rPr>
              <w:t xml:space="preserve">achada em </w:t>
            </w:r>
            <w:proofErr w:type="spellStart"/>
            <w:r w:rsidRPr="0026697B">
              <w:rPr>
                <w:rFonts w:ascii="Bookman Old Style" w:eastAsia="Arial" w:hAnsi="Bookman Old Style" w:cs="Arial"/>
                <w:color w:val="000000"/>
                <w:sz w:val="24"/>
                <w:szCs w:val="24"/>
              </w:rPr>
              <w:t>ACM</w:t>
            </w:r>
            <w:proofErr w:type="spellEnd"/>
            <w:r w:rsidRPr="0026697B">
              <w:rPr>
                <w:rFonts w:ascii="Bookman Old Style" w:eastAsia="Arial" w:hAnsi="Bookman Old Style" w:cs="Arial"/>
                <w:color w:val="000000"/>
                <w:sz w:val="24"/>
                <w:szCs w:val="24"/>
              </w:rPr>
              <w:t xml:space="preserve"> Transporte e guindaste para colocação no local indicad</w:t>
            </w:r>
            <w:r>
              <w:rPr>
                <w:rFonts w:ascii="Bookman Old Style" w:eastAsia="Arial" w:hAnsi="Bookman Old Style" w:cs="Arial"/>
                <w:color w:val="000000"/>
                <w:sz w:val="24"/>
                <w:szCs w:val="24"/>
              </w:rPr>
              <w:t>o</w:t>
            </w:r>
            <w:r w:rsidRPr="0026697B">
              <w:rPr>
                <w:rFonts w:ascii="Bookman Old Style" w:eastAsia="Arial" w:hAnsi="Bookman Old Style" w:cs="Arial"/>
                <w:color w:val="000000"/>
                <w:sz w:val="24"/>
                <w:szCs w:val="24"/>
              </w:rPr>
              <w:t>.</w:t>
            </w:r>
          </w:p>
        </w:tc>
        <w:tc>
          <w:tcPr>
            <w:tcW w:w="1254" w:type="dxa"/>
          </w:tcPr>
          <w:p w14:paraId="6A60E893" w14:textId="77777777" w:rsidR="002B4C19" w:rsidRDefault="002B4C19" w:rsidP="00495DC7">
            <w:pPr>
              <w:spacing w:after="120" w:line="240" w:lineRule="auto"/>
              <w:jc w:val="both"/>
              <w:rPr>
                <w:rFonts w:ascii="Bookman Old Style" w:eastAsia="Arial" w:hAnsi="Bookman Old Style" w:cs="Arial"/>
                <w:color w:val="000000"/>
                <w:sz w:val="24"/>
                <w:szCs w:val="24"/>
              </w:rPr>
            </w:pPr>
            <w:proofErr w:type="spellStart"/>
            <w:r>
              <w:rPr>
                <w:rFonts w:ascii="Bookman Old Style" w:eastAsia="Arial" w:hAnsi="Bookman Old Style" w:cs="Arial"/>
                <w:color w:val="000000"/>
                <w:sz w:val="24"/>
                <w:szCs w:val="24"/>
              </w:rPr>
              <w:t>un</w:t>
            </w:r>
            <w:proofErr w:type="spellEnd"/>
          </w:p>
        </w:tc>
        <w:tc>
          <w:tcPr>
            <w:tcW w:w="1182" w:type="dxa"/>
          </w:tcPr>
          <w:p w14:paraId="22C73934"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1727" w:type="dxa"/>
          </w:tcPr>
          <w:p w14:paraId="4FEA45A6" w14:textId="77777777" w:rsidR="002B4C19" w:rsidRDefault="002B4C19" w:rsidP="00495DC7">
            <w:pPr>
              <w:spacing w:after="120" w:line="240" w:lineRule="auto"/>
              <w:jc w:val="both"/>
              <w:rPr>
                <w:rFonts w:ascii="Bookman Old Style" w:eastAsia="Arial" w:hAnsi="Bookman Old Style" w:cs="Arial"/>
                <w:color w:val="000000"/>
                <w:sz w:val="24"/>
                <w:szCs w:val="24"/>
              </w:rPr>
            </w:pPr>
            <w:r w:rsidRPr="00D30810">
              <w:rPr>
                <w:rFonts w:ascii="Bookman Old Style" w:eastAsia="Arial" w:hAnsi="Bookman Old Style" w:cs="Arial"/>
                <w:color w:val="000000"/>
                <w:sz w:val="24"/>
                <w:szCs w:val="24"/>
              </w:rPr>
              <w:t>R$82.017,60</w:t>
            </w:r>
          </w:p>
        </w:tc>
        <w:tc>
          <w:tcPr>
            <w:tcW w:w="1874" w:type="dxa"/>
          </w:tcPr>
          <w:p w14:paraId="697ECF43" w14:textId="77777777" w:rsidR="002B4C19" w:rsidRDefault="002B4C19" w:rsidP="00495DC7">
            <w:pPr>
              <w:spacing w:after="120" w:line="240" w:lineRule="auto"/>
              <w:jc w:val="both"/>
              <w:rPr>
                <w:rFonts w:ascii="Bookman Old Style" w:eastAsia="Arial" w:hAnsi="Bookman Old Style" w:cs="Arial"/>
                <w:color w:val="000000"/>
                <w:sz w:val="24"/>
                <w:szCs w:val="24"/>
              </w:rPr>
            </w:pPr>
            <w:r w:rsidRPr="00D30810">
              <w:rPr>
                <w:rFonts w:ascii="Bookman Old Style" w:eastAsia="Arial" w:hAnsi="Bookman Old Style" w:cs="Arial"/>
                <w:color w:val="000000"/>
                <w:sz w:val="24"/>
                <w:szCs w:val="24"/>
              </w:rPr>
              <w:t>R$82.017,60</w:t>
            </w:r>
          </w:p>
        </w:tc>
      </w:tr>
    </w:tbl>
    <w:p w14:paraId="41181DE9" w14:textId="77777777" w:rsidR="002B4C19" w:rsidRDefault="002B4C19" w:rsidP="002B4C19">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Descritivo completo do Container encontra-se no Anexo I – Memorial descritivo.</w:t>
      </w:r>
    </w:p>
    <w:p w14:paraId="55405679" w14:textId="77777777" w:rsidR="002B4C19" w:rsidRDefault="002B4C19" w:rsidP="002B4C19">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20425034" w14:textId="77777777" w:rsidR="002B4C19" w:rsidRDefault="002B4C19" w:rsidP="002B4C19">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Item 2 – Mobiliário Sob Medida com Instalação.</w:t>
      </w:r>
    </w:p>
    <w:tbl>
      <w:tblPr>
        <w:tblStyle w:val="Tabelacomgrade"/>
        <w:tblW w:w="9209" w:type="dxa"/>
        <w:tblLook w:val="04A0" w:firstRow="1" w:lastRow="0" w:firstColumn="1" w:lastColumn="0" w:noHBand="0" w:noVBand="1"/>
      </w:tblPr>
      <w:tblGrid>
        <w:gridCol w:w="876"/>
        <w:gridCol w:w="2294"/>
        <w:gridCol w:w="1252"/>
        <w:gridCol w:w="1181"/>
        <w:gridCol w:w="1733"/>
        <w:gridCol w:w="1873"/>
      </w:tblGrid>
      <w:tr w:rsidR="002B4C19" w14:paraId="2FD0275A" w14:textId="77777777" w:rsidTr="00495DC7">
        <w:trPr>
          <w:trHeight w:val="825"/>
        </w:trPr>
        <w:tc>
          <w:tcPr>
            <w:tcW w:w="876" w:type="dxa"/>
            <w:vAlign w:val="center"/>
          </w:tcPr>
          <w:p w14:paraId="2B0B921D"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ITEM</w:t>
            </w:r>
          </w:p>
        </w:tc>
        <w:tc>
          <w:tcPr>
            <w:tcW w:w="2296" w:type="dxa"/>
            <w:vAlign w:val="center"/>
          </w:tcPr>
          <w:p w14:paraId="75F1375A"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ESPECIFICAÇÃO</w:t>
            </w:r>
          </w:p>
        </w:tc>
        <w:tc>
          <w:tcPr>
            <w:tcW w:w="1254" w:type="dxa"/>
            <w:vAlign w:val="center"/>
          </w:tcPr>
          <w:p w14:paraId="41E56936"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UNID. D</w:t>
            </w:r>
          </w:p>
        </w:tc>
        <w:tc>
          <w:tcPr>
            <w:tcW w:w="1182" w:type="dxa"/>
            <w:vAlign w:val="center"/>
          </w:tcPr>
          <w:p w14:paraId="19021DA7"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QUANT.</w:t>
            </w:r>
          </w:p>
        </w:tc>
        <w:tc>
          <w:tcPr>
            <w:tcW w:w="1727" w:type="dxa"/>
            <w:vAlign w:val="center"/>
          </w:tcPr>
          <w:p w14:paraId="01384BC4"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 xml:space="preserve">VALOR </w:t>
            </w:r>
            <w:r w:rsidRPr="0026701C">
              <w:rPr>
                <w:rFonts w:ascii="Bookman Old Style" w:eastAsia="Arial" w:hAnsi="Bookman Old Style" w:cs="Arial"/>
                <w:b/>
                <w:sz w:val="20"/>
                <w:szCs w:val="20"/>
              </w:rPr>
              <w:t>UNIT.</w:t>
            </w:r>
          </w:p>
        </w:tc>
        <w:tc>
          <w:tcPr>
            <w:tcW w:w="1874" w:type="dxa"/>
            <w:vAlign w:val="center"/>
          </w:tcPr>
          <w:p w14:paraId="67BF453D" w14:textId="77777777" w:rsidR="002B4C19" w:rsidRPr="0026701C" w:rsidRDefault="002B4C19" w:rsidP="00495DC7">
            <w:pPr>
              <w:spacing w:after="120" w:line="240" w:lineRule="auto"/>
              <w:jc w:val="both"/>
              <w:rPr>
                <w:rFonts w:ascii="Bookman Old Style" w:eastAsia="Arial" w:hAnsi="Bookman Old Style" w:cs="Arial"/>
                <w:color w:val="000000"/>
                <w:sz w:val="20"/>
                <w:szCs w:val="20"/>
              </w:rPr>
            </w:pPr>
            <w:r w:rsidRPr="0026701C">
              <w:rPr>
                <w:rFonts w:ascii="Bookman Old Style" w:eastAsia="Arial" w:hAnsi="Bookman Old Style" w:cs="Arial"/>
                <w:b/>
                <w:color w:val="000000"/>
                <w:sz w:val="20"/>
                <w:szCs w:val="20"/>
              </w:rPr>
              <w:t>VALOR TOTAL</w:t>
            </w:r>
          </w:p>
        </w:tc>
      </w:tr>
      <w:tr w:rsidR="002B4C19" w14:paraId="54EFC81F" w14:textId="77777777" w:rsidTr="00495DC7">
        <w:trPr>
          <w:trHeight w:val="1167"/>
        </w:trPr>
        <w:tc>
          <w:tcPr>
            <w:tcW w:w="876" w:type="dxa"/>
          </w:tcPr>
          <w:p w14:paraId="5F82861A"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2296" w:type="dxa"/>
          </w:tcPr>
          <w:p w14:paraId="2D5F8E8E" w14:textId="4D903D56"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Mobiliário Sob Medida com entrega </w:t>
            </w:r>
            <w:r>
              <w:rPr>
                <w:rFonts w:ascii="Bookman Old Style" w:eastAsia="Arial" w:hAnsi="Bookman Old Style" w:cs="Arial"/>
                <w:color w:val="000000"/>
                <w:sz w:val="24"/>
                <w:szCs w:val="24"/>
              </w:rPr>
              <w:t>e Instalação</w:t>
            </w:r>
          </w:p>
        </w:tc>
        <w:tc>
          <w:tcPr>
            <w:tcW w:w="1254" w:type="dxa"/>
          </w:tcPr>
          <w:p w14:paraId="45ECA1C5" w14:textId="77777777" w:rsidR="002B4C19" w:rsidRDefault="002B4C19" w:rsidP="00495DC7">
            <w:pPr>
              <w:spacing w:after="120" w:line="240" w:lineRule="auto"/>
              <w:jc w:val="both"/>
              <w:rPr>
                <w:rFonts w:ascii="Bookman Old Style" w:eastAsia="Arial" w:hAnsi="Bookman Old Style" w:cs="Arial"/>
                <w:color w:val="000000"/>
                <w:sz w:val="24"/>
                <w:szCs w:val="24"/>
              </w:rPr>
            </w:pPr>
            <w:proofErr w:type="spellStart"/>
            <w:r>
              <w:rPr>
                <w:rFonts w:ascii="Bookman Old Style" w:eastAsia="Arial" w:hAnsi="Bookman Old Style" w:cs="Arial"/>
                <w:color w:val="000000"/>
                <w:sz w:val="24"/>
                <w:szCs w:val="24"/>
              </w:rPr>
              <w:t>un</w:t>
            </w:r>
            <w:proofErr w:type="spellEnd"/>
          </w:p>
        </w:tc>
        <w:tc>
          <w:tcPr>
            <w:tcW w:w="1182" w:type="dxa"/>
          </w:tcPr>
          <w:p w14:paraId="2206E7A6"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1727" w:type="dxa"/>
          </w:tcPr>
          <w:p w14:paraId="7DF1800D"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R$27.307,67</w:t>
            </w:r>
          </w:p>
        </w:tc>
        <w:tc>
          <w:tcPr>
            <w:tcW w:w="1874" w:type="dxa"/>
          </w:tcPr>
          <w:p w14:paraId="34CA6E21" w14:textId="77777777" w:rsidR="002B4C19" w:rsidRDefault="002B4C19" w:rsidP="00495DC7">
            <w:pP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R$27.307,67</w:t>
            </w:r>
          </w:p>
        </w:tc>
      </w:tr>
    </w:tbl>
    <w:p w14:paraId="7873FF24" w14:textId="318DF1C5" w:rsidR="002B4C19" w:rsidRPr="009F30B3" w:rsidRDefault="002B4C19" w:rsidP="002B4C19">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Descritivo completo do encontra-se no Anexo II – Detalhamento de Interiores Biblioteca Pública.</w:t>
      </w:r>
    </w:p>
    <w:p w14:paraId="4334C6C6" w14:textId="77777777" w:rsidR="00C905C1" w:rsidRPr="009F30B3" w:rsidRDefault="00C905C1" w:rsidP="00C905C1">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13E42820" w14:textId="383E78A7" w:rsidR="008D1E2E" w:rsidRPr="008A5529" w:rsidRDefault="008D1E2E" w:rsidP="008D1E2E">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Natureza do Objeto:</w:t>
      </w:r>
    </w:p>
    <w:p w14:paraId="32E4096D" w14:textId="5B92E7DF" w:rsidR="008D1E2E" w:rsidRPr="008A5529" w:rsidRDefault="008D1E2E" w:rsidP="008D1E2E">
      <w:pPr>
        <w:numPr>
          <w:ilvl w:val="2"/>
          <w:numId w:val="10"/>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Os bens objeto desta contratação são caracterizados como comuns</w:t>
      </w:r>
      <w:r w:rsidR="00A2716D">
        <w:rPr>
          <w:rFonts w:ascii="Bookman Old Style" w:eastAsia="Arial" w:hAnsi="Bookman Old Style" w:cs="Arial"/>
          <w:color w:val="000000"/>
          <w:sz w:val="24"/>
          <w:szCs w:val="24"/>
        </w:rPr>
        <w:t>.</w:t>
      </w:r>
    </w:p>
    <w:p w14:paraId="714A5E1B" w14:textId="77777777" w:rsidR="008D1E2E" w:rsidRPr="008A5529" w:rsidRDefault="008D1E2E" w:rsidP="008D1E2E">
      <w:pPr>
        <w:numPr>
          <w:ilvl w:val="1"/>
          <w:numId w:val="10"/>
        </w:numPr>
        <w:pBdr>
          <w:top w:val="nil"/>
          <w:left w:val="nil"/>
          <w:bottom w:val="nil"/>
          <w:right w:val="nil"/>
          <w:between w:val="nil"/>
        </w:pBdr>
        <w:spacing w:after="120" w:line="240" w:lineRule="auto"/>
        <w:ind w:left="170" w:firstLine="0"/>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Prazo de Contratação e índice de reajustamento:</w:t>
      </w:r>
    </w:p>
    <w:p w14:paraId="4D0924E6" w14:textId="77777777" w:rsidR="008D1E2E" w:rsidRPr="00EC005A" w:rsidRDefault="008D1E2E" w:rsidP="008D1E2E">
      <w:pPr>
        <w:numPr>
          <w:ilvl w:val="2"/>
          <w:numId w:val="10"/>
        </w:numPr>
        <w:pBdr>
          <w:top w:val="nil"/>
          <w:left w:val="nil"/>
          <w:bottom w:val="nil"/>
          <w:right w:val="nil"/>
          <w:between w:val="nil"/>
        </w:pBdr>
        <w:spacing w:after="120" w:line="240" w:lineRule="auto"/>
        <w:ind w:left="1060"/>
        <w:jc w:val="both"/>
        <w:rPr>
          <w:rFonts w:ascii="Bookman Old Style" w:eastAsia="Arial" w:hAnsi="Bookman Old Style" w:cs="Arial"/>
          <w:i/>
          <w:color w:val="000000" w:themeColor="text1"/>
          <w:sz w:val="24"/>
          <w:szCs w:val="24"/>
        </w:rPr>
      </w:pPr>
      <w:r w:rsidRPr="000F59B5">
        <w:rPr>
          <w:rFonts w:ascii="Bookman Old Style" w:eastAsia="Arial" w:hAnsi="Bookman Old Style" w:cs="Arial"/>
          <w:color w:val="000000" w:themeColor="text1"/>
          <w:sz w:val="24"/>
          <w:szCs w:val="24"/>
        </w:rPr>
        <w:t>Prazo de vigência da contratação é de</w:t>
      </w:r>
      <w:r w:rsidR="00EC005A" w:rsidRPr="000F59B5">
        <w:rPr>
          <w:rFonts w:ascii="Bookman Old Style" w:eastAsia="Arial" w:hAnsi="Bookman Old Style" w:cs="Arial"/>
          <w:color w:val="000000" w:themeColor="text1"/>
          <w:sz w:val="24"/>
          <w:szCs w:val="24"/>
        </w:rPr>
        <w:t xml:space="preserve"> 1 ano</w:t>
      </w:r>
      <w:r w:rsidRPr="000F59B5">
        <w:rPr>
          <w:rFonts w:ascii="Bookman Old Style" w:eastAsia="Arial" w:hAnsi="Bookman Old Style" w:cs="Arial"/>
          <w:color w:val="000000" w:themeColor="text1"/>
          <w:sz w:val="24"/>
          <w:szCs w:val="24"/>
        </w:rPr>
        <w:t xml:space="preserve"> contado(s) da data </w:t>
      </w:r>
      <w:r w:rsidR="00EC005A" w:rsidRPr="000F59B5">
        <w:rPr>
          <w:rFonts w:ascii="Bookman Old Style" w:eastAsia="Arial" w:hAnsi="Bookman Old Style" w:cs="Arial"/>
          <w:color w:val="000000" w:themeColor="text1"/>
          <w:sz w:val="24"/>
          <w:szCs w:val="24"/>
        </w:rPr>
        <w:t>da assinatura do contrato</w:t>
      </w:r>
      <w:r w:rsidRPr="000F59B5">
        <w:rPr>
          <w:rFonts w:ascii="Bookman Old Style" w:eastAsia="Arial" w:hAnsi="Bookman Old Style" w:cs="Arial"/>
          <w:color w:val="000000" w:themeColor="text1"/>
          <w:sz w:val="24"/>
          <w:szCs w:val="24"/>
        </w:rPr>
        <w:t xml:space="preserve"> na forma do artigo 105 da Lei </w:t>
      </w:r>
      <w:r w:rsidR="00EC005A" w:rsidRPr="000F59B5">
        <w:rPr>
          <w:rFonts w:ascii="Bookman Old Style" w:eastAsia="Arial" w:hAnsi="Bookman Old Style" w:cs="Arial"/>
          <w:color w:val="000000" w:themeColor="text1"/>
          <w:sz w:val="24"/>
          <w:szCs w:val="24"/>
        </w:rPr>
        <w:t>n.º</w:t>
      </w:r>
      <w:r w:rsidRPr="000F59B5">
        <w:rPr>
          <w:rFonts w:ascii="Bookman Old Style" w:eastAsia="Arial" w:hAnsi="Bookman Old Style" w:cs="Arial"/>
          <w:color w:val="000000" w:themeColor="text1"/>
          <w:sz w:val="24"/>
          <w:szCs w:val="24"/>
        </w:rPr>
        <w:t xml:space="preserve"> 14.133, de 2021</w:t>
      </w:r>
      <w:r w:rsidRPr="00EC005A">
        <w:rPr>
          <w:rFonts w:ascii="Bookman Old Style" w:eastAsia="Arial" w:hAnsi="Bookman Old Style" w:cs="Arial"/>
          <w:i/>
          <w:color w:val="000000" w:themeColor="text1"/>
          <w:sz w:val="24"/>
          <w:szCs w:val="24"/>
        </w:rPr>
        <w:t>.</w:t>
      </w:r>
    </w:p>
    <w:p w14:paraId="72D96564" w14:textId="77777777" w:rsidR="008D1E2E" w:rsidRDefault="008D1E2E" w:rsidP="008D1E2E">
      <w:pPr>
        <w:numPr>
          <w:ilvl w:val="2"/>
          <w:numId w:val="10"/>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Os valores estimados nesta contratação poderão ser reajustados, para mais ou menos, de acordo com </w:t>
      </w:r>
      <w:r>
        <w:rPr>
          <w:rFonts w:ascii="Bookman Old Style" w:eastAsia="Arial" w:hAnsi="Bookman Old Style" w:cs="Arial"/>
          <w:sz w:val="24"/>
          <w:szCs w:val="24"/>
        </w:rPr>
        <w:t xml:space="preserve">o </w:t>
      </w:r>
      <w:r>
        <w:rPr>
          <w:rFonts w:ascii="Bookman Old Style" w:eastAsia="Arial" w:hAnsi="Bookman Old Style" w:cs="Arial"/>
          <w:color w:val="000000"/>
          <w:sz w:val="24"/>
          <w:szCs w:val="24"/>
        </w:rPr>
        <w:t>IPCA</w:t>
      </w:r>
      <w:r w:rsidRPr="008A5529">
        <w:rPr>
          <w:rFonts w:ascii="Bookman Old Style" w:eastAsia="Arial" w:hAnsi="Bookman Old Style" w:cs="Arial"/>
          <w:color w:val="000000"/>
          <w:sz w:val="24"/>
          <w:szCs w:val="24"/>
        </w:rPr>
        <w:t>, divulgado pel</w:t>
      </w:r>
      <w:r>
        <w:rPr>
          <w:rFonts w:ascii="Bookman Old Style" w:eastAsia="Arial" w:hAnsi="Bookman Old Style" w:cs="Arial"/>
          <w:color w:val="000000"/>
          <w:sz w:val="24"/>
          <w:szCs w:val="24"/>
        </w:rPr>
        <w:t>o</w:t>
      </w:r>
      <w:r w:rsidRPr="008A5529">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IBGE</w:t>
      </w:r>
      <w:r w:rsidRPr="008A5529">
        <w:rPr>
          <w:rFonts w:ascii="Bookman Old Style" w:eastAsia="Arial" w:hAnsi="Bookman Old Style" w:cs="Arial"/>
          <w:color w:val="000000"/>
          <w:sz w:val="24"/>
          <w:szCs w:val="24"/>
        </w:rPr>
        <w:t>, ou pelo índice que venha a substituí-lo, nos termos fixados em Lei.</w:t>
      </w:r>
    </w:p>
    <w:p w14:paraId="1913A55E" w14:textId="77777777" w:rsidR="008D1E2E" w:rsidRPr="008A5529" w:rsidRDefault="008D1E2E" w:rsidP="008D1E2E">
      <w:p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p>
    <w:p w14:paraId="21BBBA54"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JUSTIFICATIVA E DESCRIÇÃO DA NECESSIDADE DA CONTRATAÇÃO</w:t>
      </w:r>
    </w:p>
    <w:p w14:paraId="6D539FE9" w14:textId="48AEFCCB" w:rsidR="008D1E2E" w:rsidRDefault="00A2716D" w:rsidP="00A2716D">
      <w:pPr>
        <w:numPr>
          <w:ilvl w:val="1"/>
          <w:numId w:val="5"/>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A2716D">
        <w:rPr>
          <w:rFonts w:ascii="Bookman Old Style" w:eastAsia="Arial" w:hAnsi="Bookman Old Style" w:cs="Arial"/>
          <w:color w:val="000000"/>
          <w:sz w:val="24"/>
          <w:szCs w:val="24"/>
        </w:rPr>
        <w:t>A instalação de uma biblioteca pública em formato container</w:t>
      </w:r>
      <w:r w:rsidR="009F30B3">
        <w:rPr>
          <w:rFonts w:ascii="Bookman Old Style" w:eastAsia="Arial" w:hAnsi="Bookman Old Style" w:cs="Arial"/>
          <w:color w:val="000000"/>
          <w:sz w:val="24"/>
          <w:szCs w:val="24"/>
        </w:rPr>
        <w:t xml:space="preserve">, bem como o mobiliário sob medida com instalação </w:t>
      </w:r>
      <w:r w:rsidRPr="00A2716D">
        <w:rPr>
          <w:rFonts w:ascii="Bookman Old Style" w:eastAsia="Arial" w:hAnsi="Bookman Old Style" w:cs="Arial"/>
          <w:color w:val="000000"/>
          <w:sz w:val="24"/>
          <w:szCs w:val="24"/>
        </w:rPr>
        <w:t>é justificada pela necessidade de expandir o acesso à leitura, educação e cultura</w:t>
      </w:r>
      <w:r>
        <w:rPr>
          <w:rFonts w:ascii="Bookman Old Style" w:eastAsia="Arial" w:hAnsi="Bookman Old Style" w:cs="Arial"/>
          <w:color w:val="000000"/>
          <w:sz w:val="24"/>
          <w:szCs w:val="24"/>
        </w:rPr>
        <w:t xml:space="preserve">. </w:t>
      </w:r>
      <w:r w:rsidRPr="00A2716D">
        <w:rPr>
          <w:rFonts w:ascii="Bookman Old Style" w:eastAsia="Arial" w:hAnsi="Bookman Old Style" w:cs="Arial"/>
          <w:color w:val="000000"/>
          <w:sz w:val="24"/>
          <w:szCs w:val="24"/>
        </w:rPr>
        <w:t>Este modelo oferece uma solução rápida, econômica e sustentável para levar conhecimento e promover o desenvolvimento cultural.</w:t>
      </w:r>
      <w:r w:rsidRPr="008A5529">
        <w:rPr>
          <w:rFonts w:ascii="Bookman Old Style" w:eastAsia="Arial" w:hAnsi="Bookman Old Style" w:cs="Arial"/>
          <w:color w:val="000000"/>
          <w:sz w:val="24"/>
          <w:szCs w:val="24"/>
        </w:rPr>
        <w:t xml:space="preserve"> </w:t>
      </w:r>
      <w:r w:rsidR="00154598" w:rsidRPr="00EC005A">
        <w:rPr>
          <w:rFonts w:ascii="Bookman Old Style" w:eastAsia="Arial" w:hAnsi="Bookman Old Style" w:cs="Arial"/>
          <w:color w:val="000000"/>
          <w:sz w:val="24"/>
          <w:szCs w:val="24"/>
        </w:rPr>
        <w:t>A biblioteca container será um espaço acessível e acolhedor para leitura, estudo, pesquisa e promoção da educação e da cultura na comunidade</w:t>
      </w:r>
      <w:r w:rsidR="00154598">
        <w:rPr>
          <w:rFonts w:ascii="Bookman Old Style" w:eastAsia="Arial" w:hAnsi="Bookman Old Style" w:cs="Arial"/>
          <w:color w:val="000000"/>
          <w:sz w:val="24"/>
          <w:szCs w:val="24"/>
        </w:rPr>
        <w:t>.</w:t>
      </w:r>
    </w:p>
    <w:p w14:paraId="2F5E1A8A" w14:textId="77777777" w:rsidR="00A2716D" w:rsidRPr="008A5529" w:rsidRDefault="00A2716D" w:rsidP="00A2716D">
      <w:p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p>
    <w:p w14:paraId="3C2AADD9"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DESCRIÇÃO DA SOLUÇÃO, CONSIDERANDO TODO O CICLO DE VIDA DO OBJETO</w:t>
      </w:r>
    </w:p>
    <w:p w14:paraId="4C5C2F94"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EF592BB" w14:textId="1196ED31" w:rsidR="008D1E2E" w:rsidRDefault="000776BA" w:rsidP="008D1E2E">
      <w:pPr>
        <w:numPr>
          <w:ilvl w:val="1"/>
          <w:numId w:val="8"/>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0776BA">
        <w:t xml:space="preserve"> </w:t>
      </w:r>
      <w:r w:rsidRPr="000776BA">
        <w:rPr>
          <w:rFonts w:ascii="Bookman Old Style" w:eastAsia="Arial" w:hAnsi="Bookman Old Style" w:cs="Arial"/>
          <w:color w:val="000000"/>
          <w:sz w:val="24"/>
          <w:szCs w:val="24"/>
        </w:rPr>
        <w:t>A solução proposta abrange todo o ciclo de vida da biblioteca em formato container, desde o planejamento e projeto até a operação. Essa abordagem assegura que a biblioteca não apenas atenda às necessidades imediatas da comunidade, mas também permaneça funcional, atualizada e relevante ao longo do tempo, proporcionando um impacto duradouro e positivo na educação e cultura local.</w:t>
      </w:r>
      <w:r w:rsidR="008D1E2E" w:rsidRPr="000776BA">
        <w:rPr>
          <w:rFonts w:ascii="Bookman Old Style" w:eastAsia="Arial" w:hAnsi="Bookman Old Style" w:cs="Arial"/>
          <w:color w:val="000000"/>
          <w:sz w:val="24"/>
          <w:szCs w:val="24"/>
        </w:rPr>
        <w:t xml:space="preserve"> </w:t>
      </w:r>
    </w:p>
    <w:p w14:paraId="661623AD" w14:textId="77777777" w:rsidR="00620EFF" w:rsidRPr="000776BA" w:rsidRDefault="00620EFF" w:rsidP="00620EFF">
      <w:p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p>
    <w:p w14:paraId="6E0ADC0F"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lastRenderedPageBreak/>
        <w:t>REQUISITOS DA CONTRATAÇÃO</w:t>
      </w:r>
    </w:p>
    <w:p w14:paraId="31A91A45"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F61956B" w14:textId="77777777" w:rsidR="008D1E2E" w:rsidRPr="008A5529" w:rsidRDefault="008D1E2E" w:rsidP="008D1E2E">
      <w:pPr>
        <w:numPr>
          <w:ilvl w:val="1"/>
          <w:numId w:val="11"/>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Exigências de Amostra</w:t>
      </w:r>
    </w:p>
    <w:p w14:paraId="1DAE073C" w14:textId="77777777" w:rsidR="008D1E2E" w:rsidRPr="008A5529" w:rsidRDefault="000F59B5" w:rsidP="008D1E2E">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i/>
          <w:color w:val="FF0000"/>
          <w:sz w:val="24"/>
          <w:szCs w:val="24"/>
        </w:rPr>
      </w:pPr>
      <w:r w:rsidRPr="000F59B5">
        <w:rPr>
          <w:rFonts w:ascii="Bookman Old Style" w:eastAsia="Arial" w:hAnsi="Bookman Old Style" w:cs="Arial"/>
          <w:sz w:val="24"/>
          <w:szCs w:val="24"/>
        </w:rPr>
        <w:t>Não serão exigidas amostras</w:t>
      </w:r>
      <w:r>
        <w:rPr>
          <w:rFonts w:ascii="Bookman Old Style" w:eastAsia="Arial" w:hAnsi="Bookman Old Style" w:cs="Arial"/>
          <w:i/>
          <w:color w:val="FF0000"/>
          <w:sz w:val="24"/>
          <w:szCs w:val="24"/>
        </w:rPr>
        <w:t>.</w:t>
      </w:r>
    </w:p>
    <w:p w14:paraId="385848B6" w14:textId="77777777" w:rsidR="008D1E2E" w:rsidRPr="008A5529" w:rsidRDefault="008D1E2E" w:rsidP="008D1E2E">
      <w:pPr>
        <w:numPr>
          <w:ilvl w:val="1"/>
          <w:numId w:val="1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Subcontratação</w:t>
      </w:r>
    </w:p>
    <w:p w14:paraId="2DEA45A3" w14:textId="77777777" w:rsidR="008D1E2E" w:rsidRPr="000F59B5" w:rsidRDefault="008D1E2E" w:rsidP="008D1E2E">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0F59B5">
        <w:rPr>
          <w:rFonts w:ascii="Bookman Old Style" w:eastAsia="Arial" w:hAnsi="Bookman Old Style" w:cs="Arial"/>
          <w:sz w:val="24"/>
          <w:szCs w:val="24"/>
        </w:rPr>
        <w:t>Não será admitida a subcontratação do objeto contratual</w:t>
      </w:r>
    </w:p>
    <w:p w14:paraId="0F7E37B0" w14:textId="77777777" w:rsidR="008D1E2E" w:rsidRPr="008A5529" w:rsidRDefault="008D1E2E" w:rsidP="008D1E2E">
      <w:pPr>
        <w:numPr>
          <w:ilvl w:val="1"/>
          <w:numId w:val="1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Garantia da Contratação</w:t>
      </w:r>
    </w:p>
    <w:p w14:paraId="782B1AA0" w14:textId="77777777" w:rsidR="008D1E2E" w:rsidRPr="000F59B5" w:rsidRDefault="008D1E2E" w:rsidP="000F59B5">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0F59B5">
        <w:rPr>
          <w:rFonts w:ascii="Bookman Old Style" w:eastAsia="Arial" w:hAnsi="Bookman Old Style" w:cs="Arial"/>
          <w:sz w:val="24"/>
          <w:szCs w:val="24"/>
        </w:rPr>
        <w:t>Não haverá exigência da garantia da contratação.</w:t>
      </w:r>
    </w:p>
    <w:p w14:paraId="28A9551A" w14:textId="77777777" w:rsidR="008D1E2E" w:rsidRPr="000F59B5" w:rsidRDefault="008D1E2E" w:rsidP="008D1E2E">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0F59B5">
        <w:rPr>
          <w:rFonts w:ascii="Bookman Old Style" w:eastAsia="Arial" w:hAnsi="Bookman Old Style" w:cs="Arial"/>
          <w:sz w:val="24"/>
          <w:szCs w:val="24"/>
        </w:rPr>
        <w:t>O contrato oferece maior detalhamento das regras que serão aplicadas em relação à garantia da contratação.</w:t>
      </w:r>
    </w:p>
    <w:p w14:paraId="03328C5C" w14:textId="77777777" w:rsidR="008D1E2E" w:rsidRPr="008A5529" w:rsidRDefault="008D1E2E" w:rsidP="008D1E2E">
      <w:pPr>
        <w:pBdr>
          <w:top w:val="nil"/>
          <w:left w:val="nil"/>
          <w:bottom w:val="nil"/>
          <w:right w:val="nil"/>
          <w:between w:val="nil"/>
        </w:pBdr>
        <w:spacing w:after="120" w:line="240" w:lineRule="auto"/>
        <w:ind w:left="1060"/>
        <w:jc w:val="both"/>
        <w:rPr>
          <w:rFonts w:ascii="Bookman Old Style" w:eastAsia="Arial" w:hAnsi="Bookman Old Style" w:cs="Arial"/>
          <w:i/>
          <w:sz w:val="24"/>
          <w:szCs w:val="24"/>
        </w:rPr>
      </w:pPr>
    </w:p>
    <w:p w14:paraId="453F4498"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MODELO DE EXECUÇÃO DO OBJETO</w:t>
      </w:r>
    </w:p>
    <w:p w14:paraId="27374447"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E432619" w14:textId="77777777" w:rsidR="008D1E2E" w:rsidRPr="008A5529" w:rsidRDefault="008D1E2E" w:rsidP="008D1E2E">
      <w:pPr>
        <w:numPr>
          <w:ilvl w:val="1"/>
          <w:numId w:val="13"/>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Condições, prazos e local de Entrega</w:t>
      </w:r>
    </w:p>
    <w:p w14:paraId="77A38998" w14:textId="6EE5D752" w:rsidR="00864950" w:rsidRPr="00864950" w:rsidRDefault="008D1E2E" w:rsidP="00864950">
      <w:pPr>
        <w:numPr>
          <w:ilvl w:val="2"/>
          <w:numId w:val="13"/>
        </w:numPr>
        <w:pBdr>
          <w:top w:val="nil"/>
          <w:left w:val="nil"/>
          <w:bottom w:val="nil"/>
          <w:right w:val="nil"/>
          <w:between w:val="nil"/>
        </w:pBdr>
        <w:spacing w:after="120" w:line="240" w:lineRule="auto"/>
        <w:ind w:left="1060"/>
        <w:jc w:val="both"/>
        <w:rPr>
          <w:rFonts w:ascii="Bookman Old Style" w:eastAsia="Arial" w:hAnsi="Bookman Old Style" w:cs="Arial"/>
          <w:i/>
          <w:sz w:val="24"/>
          <w:szCs w:val="24"/>
        </w:rPr>
      </w:pPr>
      <w:r w:rsidRPr="006847A5">
        <w:rPr>
          <w:rFonts w:ascii="Bookman Old Style" w:eastAsia="Arial" w:hAnsi="Bookman Old Style" w:cs="Arial"/>
          <w:i/>
          <w:sz w:val="24"/>
          <w:szCs w:val="24"/>
        </w:rPr>
        <w:t>O prazo de entrega d</w:t>
      </w:r>
      <w:r w:rsidR="00864950">
        <w:rPr>
          <w:rFonts w:ascii="Bookman Old Style" w:eastAsia="Arial" w:hAnsi="Bookman Old Style" w:cs="Arial"/>
          <w:i/>
          <w:sz w:val="24"/>
          <w:szCs w:val="24"/>
        </w:rPr>
        <w:t>o container</w:t>
      </w:r>
      <w:r w:rsidRPr="006847A5">
        <w:rPr>
          <w:rFonts w:ascii="Bookman Old Style" w:eastAsia="Arial" w:hAnsi="Bookman Old Style" w:cs="Arial"/>
          <w:i/>
          <w:sz w:val="24"/>
          <w:szCs w:val="24"/>
        </w:rPr>
        <w:t xml:space="preserve"> é de </w:t>
      </w:r>
      <w:r w:rsidR="00697E7F">
        <w:rPr>
          <w:rFonts w:ascii="Bookman Old Style" w:eastAsia="Arial" w:hAnsi="Bookman Old Style" w:cs="Arial"/>
          <w:i/>
          <w:sz w:val="24"/>
          <w:szCs w:val="24"/>
        </w:rPr>
        <w:t>30 (trinta)</w:t>
      </w:r>
      <w:r w:rsidRPr="006847A5">
        <w:rPr>
          <w:rFonts w:ascii="Bookman Old Style" w:eastAsia="Arial" w:hAnsi="Bookman Old Style" w:cs="Arial"/>
          <w:i/>
          <w:sz w:val="24"/>
          <w:szCs w:val="24"/>
        </w:rPr>
        <w:t xml:space="preserve"> dias, contados da </w:t>
      </w:r>
      <w:r w:rsidR="006847A5">
        <w:rPr>
          <w:rFonts w:ascii="Bookman Old Style" w:eastAsia="Arial" w:hAnsi="Bookman Old Style" w:cs="Arial"/>
          <w:i/>
          <w:sz w:val="24"/>
          <w:szCs w:val="24"/>
        </w:rPr>
        <w:t xml:space="preserve">data do </w:t>
      </w:r>
      <w:r w:rsidR="006847A5" w:rsidRPr="006847A5">
        <w:rPr>
          <w:rFonts w:ascii="Bookman Old Style" w:eastAsia="Arial" w:hAnsi="Bookman Old Style" w:cs="Arial"/>
          <w:i/>
          <w:sz w:val="24"/>
          <w:szCs w:val="24"/>
        </w:rPr>
        <w:t>recebimento</w:t>
      </w:r>
      <w:r w:rsidRPr="006847A5">
        <w:rPr>
          <w:rFonts w:ascii="Bookman Old Style" w:eastAsia="Arial" w:hAnsi="Bookman Old Style" w:cs="Arial"/>
          <w:i/>
          <w:sz w:val="24"/>
          <w:szCs w:val="24"/>
        </w:rPr>
        <w:t xml:space="preserve"> da autorização de fornecimento.</w:t>
      </w:r>
    </w:p>
    <w:p w14:paraId="7FBD6BE7" w14:textId="78CD27BC" w:rsidR="008D1E2E" w:rsidRDefault="008D1E2E" w:rsidP="008D1E2E">
      <w:pPr>
        <w:numPr>
          <w:ilvl w:val="2"/>
          <w:numId w:val="13"/>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6847A5">
        <w:rPr>
          <w:rFonts w:ascii="Bookman Old Style" w:eastAsia="Arial" w:hAnsi="Bookman Old Style" w:cs="Arial"/>
          <w:sz w:val="24"/>
          <w:szCs w:val="24"/>
        </w:rPr>
        <w:t>Os bens deverão ser entregues</w:t>
      </w:r>
      <w:r w:rsidR="00864950">
        <w:rPr>
          <w:rFonts w:ascii="Bookman Old Style" w:eastAsia="Arial" w:hAnsi="Bookman Old Style" w:cs="Arial"/>
          <w:sz w:val="24"/>
          <w:szCs w:val="24"/>
        </w:rPr>
        <w:t xml:space="preserve"> durante o horário de expediente da Prefeitura Municipal de Cordilheira Alta (07h00 às 11h30min e das 13h00 às 17h00)</w:t>
      </w:r>
      <w:r w:rsidRPr="006847A5">
        <w:rPr>
          <w:rFonts w:ascii="Bookman Old Style" w:eastAsia="Arial" w:hAnsi="Bookman Old Style" w:cs="Arial"/>
          <w:sz w:val="24"/>
          <w:szCs w:val="24"/>
        </w:rPr>
        <w:t xml:space="preserve"> no seguinte endereço: </w:t>
      </w:r>
      <w:r w:rsidR="006847A5" w:rsidRPr="006847A5">
        <w:rPr>
          <w:rFonts w:ascii="Bookman Old Style" w:eastAsia="Arial" w:hAnsi="Bookman Old Style" w:cs="Arial"/>
          <w:sz w:val="24"/>
          <w:szCs w:val="24"/>
        </w:rPr>
        <w:t xml:space="preserve">Avenida Fermino Tozzo, Centro, Cordilheira Alta – SC, anexo a praça Afonso </w:t>
      </w:r>
      <w:proofErr w:type="spellStart"/>
      <w:r w:rsidR="006847A5" w:rsidRPr="006847A5">
        <w:rPr>
          <w:rFonts w:ascii="Bookman Old Style" w:eastAsia="Arial" w:hAnsi="Bookman Old Style" w:cs="Arial"/>
          <w:sz w:val="24"/>
          <w:szCs w:val="24"/>
        </w:rPr>
        <w:t>Berté</w:t>
      </w:r>
      <w:proofErr w:type="spellEnd"/>
      <w:r w:rsidR="006847A5" w:rsidRPr="006847A5">
        <w:rPr>
          <w:rFonts w:ascii="Bookman Old Style" w:eastAsia="Arial" w:hAnsi="Bookman Old Style" w:cs="Arial"/>
          <w:sz w:val="24"/>
          <w:szCs w:val="24"/>
        </w:rPr>
        <w:t>.</w:t>
      </w:r>
    </w:p>
    <w:p w14:paraId="7124ACD8" w14:textId="0E6378B5" w:rsidR="00864950" w:rsidRPr="006847A5" w:rsidRDefault="00864950" w:rsidP="008D1E2E">
      <w:pPr>
        <w:numPr>
          <w:ilvl w:val="2"/>
          <w:numId w:val="13"/>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Pr>
          <w:rFonts w:ascii="Bookman Old Style" w:eastAsia="Arial" w:hAnsi="Bookman Old Style" w:cs="Arial"/>
          <w:sz w:val="24"/>
          <w:szCs w:val="24"/>
        </w:rPr>
        <w:t>A entrega</w:t>
      </w:r>
      <w:r w:rsidR="00660B1B">
        <w:rPr>
          <w:rFonts w:ascii="Bookman Old Style" w:eastAsia="Arial" w:hAnsi="Bookman Old Style" w:cs="Arial"/>
          <w:sz w:val="24"/>
          <w:szCs w:val="24"/>
        </w:rPr>
        <w:t xml:space="preserve"> do container</w:t>
      </w:r>
      <w:r>
        <w:rPr>
          <w:rFonts w:ascii="Bookman Old Style" w:eastAsia="Arial" w:hAnsi="Bookman Old Style" w:cs="Arial"/>
          <w:sz w:val="24"/>
          <w:szCs w:val="24"/>
        </w:rPr>
        <w:t xml:space="preserve"> deverá ser programada</w:t>
      </w:r>
      <w:r w:rsidR="00660B1B">
        <w:rPr>
          <w:rFonts w:ascii="Bookman Old Style" w:eastAsia="Arial" w:hAnsi="Bookman Old Style" w:cs="Arial"/>
          <w:sz w:val="24"/>
          <w:szCs w:val="24"/>
        </w:rPr>
        <w:t xml:space="preserve"> e informada pela contratada</w:t>
      </w:r>
      <w:r>
        <w:rPr>
          <w:rFonts w:ascii="Bookman Old Style" w:eastAsia="Arial" w:hAnsi="Bookman Old Style" w:cs="Arial"/>
          <w:sz w:val="24"/>
          <w:szCs w:val="24"/>
        </w:rPr>
        <w:t xml:space="preserve"> com antecedência para</w:t>
      </w:r>
      <w:r w:rsidR="00660B1B">
        <w:rPr>
          <w:rFonts w:ascii="Bookman Old Style" w:eastAsia="Arial" w:hAnsi="Bookman Old Style" w:cs="Arial"/>
          <w:sz w:val="24"/>
          <w:szCs w:val="24"/>
        </w:rPr>
        <w:t xml:space="preserve"> que o município se programe com o</w:t>
      </w:r>
      <w:r>
        <w:rPr>
          <w:rFonts w:ascii="Bookman Old Style" w:eastAsia="Arial" w:hAnsi="Bookman Old Style" w:cs="Arial"/>
          <w:sz w:val="24"/>
          <w:szCs w:val="24"/>
        </w:rPr>
        <w:t xml:space="preserve"> fechamento da rua</w:t>
      </w:r>
      <w:r w:rsidR="00660B1B">
        <w:rPr>
          <w:rFonts w:ascii="Bookman Old Style" w:eastAsia="Arial" w:hAnsi="Bookman Old Style" w:cs="Arial"/>
          <w:sz w:val="24"/>
          <w:szCs w:val="24"/>
        </w:rPr>
        <w:t xml:space="preserve"> e demais necessidades.</w:t>
      </w:r>
    </w:p>
    <w:p w14:paraId="06A67349" w14:textId="51C2198B" w:rsidR="008D1E2E" w:rsidRPr="008A5529" w:rsidRDefault="006847A5" w:rsidP="008D1E2E">
      <w:pPr>
        <w:numPr>
          <w:ilvl w:val="1"/>
          <w:numId w:val="1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Garantia, Manutenção e Assistência técnica</w:t>
      </w:r>
      <w:r w:rsidR="008D1E2E" w:rsidRPr="008A5529">
        <w:rPr>
          <w:rFonts w:ascii="Bookman Old Style" w:eastAsia="Arial" w:hAnsi="Bookman Old Style" w:cs="Arial"/>
          <w:color w:val="000000"/>
          <w:sz w:val="24"/>
          <w:szCs w:val="24"/>
        </w:rPr>
        <w:t>.</w:t>
      </w:r>
    </w:p>
    <w:p w14:paraId="3AA16022" w14:textId="34B6AF76" w:rsidR="008D1E2E" w:rsidRDefault="008D1E2E" w:rsidP="008D1E2E">
      <w:pPr>
        <w:numPr>
          <w:ilvl w:val="2"/>
          <w:numId w:val="13"/>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6723FC">
        <w:rPr>
          <w:rFonts w:ascii="Bookman Old Style" w:eastAsia="Arial" w:hAnsi="Bookman Old Style" w:cs="Arial"/>
          <w:sz w:val="24"/>
          <w:szCs w:val="24"/>
        </w:rPr>
        <w:t>O prazo de garantia é aquele estabelecido na Lei n.º 8.078, de 11 de setembro de 1990 (Código de Defesa do Consumidor)</w:t>
      </w:r>
    </w:p>
    <w:p w14:paraId="766F4560" w14:textId="41ED7933" w:rsidR="008D1E2E" w:rsidRDefault="00442773" w:rsidP="00442773">
      <w:pPr>
        <w:numPr>
          <w:ilvl w:val="2"/>
          <w:numId w:val="13"/>
        </w:numPr>
        <w:pBdr>
          <w:top w:val="nil"/>
          <w:left w:val="nil"/>
          <w:bottom w:val="nil"/>
          <w:right w:val="nil"/>
          <w:between w:val="nil"/>
        </w:pBdr>
        <w:spacing w:after="120" w:line="240" w:lineRule="auto"/>
        <w:ind w:left="993"/>
        <w:jc w:val="both"/>
        <w:rPr>
          <w:rFonts w:ascii="Bookman Old Style" w:eastAsia="Arial" w:hAnsi="Bookman Old Style" w:cs="Arial"/>
          <w:sz w:val="24"/>
          <w:szCs w:val="24"/>
        </w:rPr>
      </w:pPr>
      <w:r w:rsidRPr="00442773">
        <w:rPr>
          <w:rFonts w:ascii="Bookman Old Style" w:eastAsia="Arial" w:hAnsi="Bookman Old Style" w:cs="Arial"/>
          <w:sz w:val="24"/>
          <w:szCs w:val="24"/>
        </w:rPr>
        <w:t>O Container deverá ser entregue instalado e pronto para uso pela CONTRATADA no local</w:t>
      </w:r>
      <w:r>
        <w:rPr>
          <w:rFonts w:ascii="Bookman Old Style" w:eastAsia="Arial" w:hAnsi="Bookman Old Style" w:cs="Arial"/>
          <w:sz w:val="24"/>
          <w:szCs w:val="24"/>
        </w:rPr>
        <w:t xml:space="preserve"> determinado pela Secretaria de Cultura, Esportes e Turismo, sem nenhum custo adicional ao CONTRATANTE.</w:t>
      </w:r>
    </w:p>
    <w:p w14:paraId="4E4F8413" w14:textId="20DDD0D2" w:rsidR="00442773" w:rsidRDefault="00442773" w:rsidP="00442773">
      <w:pPr>
        <w:numPr>
          <w:ilvl w:val="2"/>
          <w:numId w:val="13"/>
        </w:numPr>
        <w:pBdr>
          <w:top w:val="nil"/>
          <w:left w:val="nil"/>
          <w:bottom w:val="nil"/>
          <w:right w:val="nil"/>
          <w:between w:val="nil"/>
        </w:pBdr>
        <w:spacing w:after="120" w:line="240" w:lineRule="auto"/>
        <w:ind w:left="993" w:hanging="709"/>
        <w:jc w:val="both"/>
        <w:rPr>
          <w:rFonts w:ascii="Bookman Old Style" w:eastAsia="Arial" w:hAnsi="Bookman Old Style" w:cs="Arial"/>
          <w:sz w:val="24"/>
          <w:szCs w:val="24"/>
        </w:rPr>
      </w:pPr>
      <w:r w:rsidRPr="00442773">
        <w:rPr>
          <w:rFonts w:ascii="Bookman Old Style" w:eastAsia="Arial" w:hAnsi="Bookman Old Style" w:cs="Arial"/>
          <w:sz w:val="24"/>
          <w:szCs w:val="24"/>
        </w:rPr>
        <w:t>Todas as despesas com locomoção, instalações, fretes,</w:t>
      </w:r>
      <w:r w:rsidR="00864950">
        <w:rPr>
          <w:rFonts w:ascii="Bookman Old Style" w:eastAsia="Arial" w:hAnsi="Bookman Old Style" w:cs="Arial"/>
          <w:sz w:val="24"/>
          <w:szCs w:val="24"/>
        </w:rPr>
        <w:t xml:space="preserve"> com pessoal</w:t>
      </w:r>
      <w:r w:rsidRPr="00442773">
        <w:rPr>
          <w:rFonts w:ascii="Bookman Old Style" w:eastAsia="Arial" w:hAnsi="Bookman Old Style" w:cs="Arial"/>
          <w:sz w:val="24"/>
          <w:szCs w:val="24"/>
        </w:rPr>
        <w:t xml:space="preserve"> ou qualquer despesa por ventura efetuada e não citada nesse Termo de Referência, será de única e total responsabilidade da empresa vencedora do certame.</w:t>
      </w:r>
    </w:p>
    <w:p w14:paraId="0EBE51DD" w14:textId="757EF6CB" w:rsidR="00442773" w:rsidRDefault="00F3488B" w:rsidP="00442773">
      <w:pPr>
        <w:numPr>
          <w:ilvl w:val="2"/>
          <w:numId w:val="13"/>
        </w:numPr>
        <w:pBdr>
          <w:top w:val="nil"/>
          <w:left w:val="nil"/>
          <w:bottom w:val="nil"/>
          <w:right w:val="nil"/>
          <w:between w:val="nil"/>
        </w:pBdr>
        <w:spacing w:after="120" w:line="240" w:lineRule="auto"/>
        <w:ind w:left="993"/>
        <w:jc w:val="both"/>
        <w:rPr>
          <w:rFonts w:ascii="Bookman Old Style" w:eastAsia="Arial" w:hAnsi="Bookman Old Style" w:cs="Arial"/>
          <w:sz w:val="24"/>
          <w:szCs w:val="24"/>
        </w:rPr>
      </w:pPr>
      <w:r>
        <w:rPr>
          <w:rFonts w:ascii="Bookman Old Style" w:eastAsia="Arial" w:hAnsi="Bookman Old Style" w:cs="Arial"/>
          <w:sz w:val="24"/>
          <w:szCs w:val="24"/>
        </w:rPr>
        <w:t>Período de garantia total de 12 (doze) meses contra d</w:t>
      </w:r>
      <w:r w:rsidRPr="00F3488B">
        <w:rPr>
          <w:rFonts w:ascii="Bookman Old Style" w:eastAsia="Arial" w:hAnsi="Bookman Old Style" w:cs="Arial"/>
          <w:sz w:val="24"/>
          <w:szCs w:val="24"/>
        </w:rPr>
        <w:t>efeitos de fabricação, problemas estruturais, corrosão, falhas no isolamento térmico e acústico, e problemas na pintura anticorrosiva.</w:t>
      </w:r>
      <w:r>
        <w:rPr>
          <w:rFonts w:ascii="Bookman Old Style" w:eastAsia="Arial" w:hAnsi="Bookman Old Style" w:cs="Arial"/>
          <w:sz w:val="24"/>
          <w:szCs w:val="24"/>
        </w:rPr>
        <w:t xml:space="preserve"> A</w:t>
      </w:r>
      <w:r w:rsidRPr="00F3488B">
        <w:rPr>
          <w:rFonts w:ascii="Bookman Old Style" w:eastAsia="Arial" w:hAnsi="Bookman Old Style" w:cs="Arial"/>
          <w:sz w:val="24"/>
          <w:szCs w:val="24"/>
        </w:rPr>
        <w:t xml:space="preserve"> garantia </w:t>
      </w:r>
      <w:r>
        <w:rPr>
          <w:rFonts w:ascii="Bookman Old Style" w:eastAsia="Arial" w:hAnsi="Bookman Old Style" w:cs="Arial"/>
          <w:sz w:val="24"/>
          <w:szCs w:val="24"/>
        </w:rPr>
        <w:t xml:space="preserve">deve </w:t>
      </w:r>
      <w:r w:rsidRPr="00F3488B">
        <w:rPr>
          <w:rFonts w:ascii="Bookman Old Style" w:eastAsia="Arial" w:hAnsi="Bookman Old Style" w:cs="Arial"/>
          <w:sz w:val="24"/>
          <w:szCs w:val="24"/>
        </w:rPr>
        <w:t>cobr</w:t>
      </w:r>
      <w:r>
        <w:rPr>
          <w:rFonts w:ascii="Bookman Old Style" w:eastAsia="Arial" w:hAnsi="Bookman Old Style" w:cs="Arial"/>
          <w:sz w:val="24"/>
          <w:szCs w:val="24"/>
        </w:rPr>
        <w:t>ir</w:t>
      </w:r>
      <w:r w:rsidRPr="00F3488B">
        <w:rPr>
          <w:rFonts w:ascii="Bookman Old Style" w:eastAsia="Arial" w:hAnsi="Bookman Old Style" w:cs="Arial"/>
          <w:sz w:val="24"/>
          <w:szCs w:val="24"/>
        </w:rPr>
        <w:t xml:space="preserve"> reparos ou substituição de componentes defeituosos sem custo adicional para o contratante.</w:t>
      </w:r>
    </w:p>
    <w:p w14:paraId="65901A7D" w14:textId="0CC25FB8" w:rsidR="00E9252F" w:rsidRPr="00E9252F" w:rsidRDefault="00EA42FA" w:rsidP="00AF3B68">
      <w:pPr>
        <w:numPr>
          <w:ilvl w:val="2"/>
          <w:numId w:val="13"/>
        </w:numPr>
        <w:pBdr>
          <w:top w:val="nil"/>
          <w:left w:val="nil"/>
          <w:bottom w:val="nil"/>
          <w:right w:val="nil"/>
          <w:between w:val="nil"/>
        </w:pBdr>
        <w:spacing w:after="120" w:line="240" w:lineRule="auto"/>
        <w:ind w:left="993"/>
        <w:jc w:val="both"/>
        <w:rPr>
          <w:rFonts w:ascii="Bookman Old Style" w:eastAsia="Arial" w:hAnsi="Bookman Old Style" w:cs="Arial"/>
          <w:sz w:val="24"/>
          <w:szCs w:val="24"/>
        </w:rPr>
      </w:pPr>
      <w:r w:rsidRPr="00E9252F">
        <w:rPr>
          <w:rFonts w:ascii="Bookman Old Style" w:eastAsia="Arial" w:hAnsi="Bookman Old Style" w:cs="Arial"/>
          <w:sz w:val="24"/>
          <w:szCs w:val="24"/>
        </w:rPr>
        <w:t xml:space="preserve">O mobiliário sob medida deverá ser entregue, instalado e pronto para uso no local determinado pela Secretaria de Cultura, Esportes e </w:t>
      </w:r>
      <w:r w:rsidRPr="00E9252F">
        <w:rPr>
          <w:rFonts w:ascii="Bookman Old Style" w:eastAsia="Arial" w:hAnsi="Bookman Old Style" w:cs="Arial"/>
          <w:sz w:val="24"/>
          <w:szCs w:val="24"/>
        </w:rPr>
        <w:lastRenderedPageBreak/>
        <w:t>Turismo, sem nenhum custo adicional ao CONTRATANTE</w:t>
      </w:r>
      <w:r w:rsidR="00E9252F" w:rsidRPr="00E9252F">
        <w:rPr>
          <w:rFonts w:ascii="Bookman Old Style" w:eastAsia="Arial" w:hAnsi="Bookman Old Style" w:cs="Arial"/>
          <w:sz w:val="24"/>
          <w:szCs w:val="24"/>
        </w:rPr>
        <w:t xml:space="preserve"> </w:t>
      </w:r>
      <w:r w:rsidR="00E9252F">
        <w:rPr>
          <w:rFonts w:ascii="Bookman Old Style" w:eastAsia="Arial" w:hAnsi="Bookman Old Style" w:cs="Arial"/>
          <w:i/>
          <w:sz w:val="24"/>
          <w:szCs w:val="24"/>
        </w:rPr>
        <w:t xml:space="preserve">em </w:t>
      </w:r>
      <w:r w:rsidR="00660B1B">
        <w:rPr>
          <w:rFonts w:ascii="Bookman Old Style" w:eastAsia="Arial" w:hAnsi="Bookman Old Style" w:cs="Arial"/>
          <w:i/>
          <w:sz w:val="24"/>
          <w:szCs w:val="24"/>
        </w:rPr>
        <w:t>até</w:t>
      </w:r>
      <w:r w:rsidR="00E9252F" w:rsidRPr="006847A5">
        <w:rPr>
          <w:rFonts w:ascii="Bookman Old Style" w:eastAsia="Arial" w:hAnsi="Bookman Old Style" w:cs="Arial"/>
          <w:i/>
          <w:sz w:val="24"/>
          <w:szCs w:val="24"/>
        </w:rPr>
        <w:t xml:space="preserve"> </w:t>
      </w:r>
      <w:r w:rsidR="00E9252F">
        <w:rPr>
          <w:rFonts w:ascii="Bookman Old Style" w:eastAsia="Arial" w:hAnsi="Bookman Old Style" w:cs="Arial"/>
          <w:i/>
          <w:sz w:val="24"/>
          <w:szCs w:val="24"/>
        </w:rPr>
        <w:t>30 (trinta)</w:t>
      </w:r>
      <w:r w:rsidR="00E9252F" w:rsidRPr="006847A5">
        <w:rPr>
          <w:rFonts w:ascii="Bookman Old Style" w:eastAsia="Arial" w:hAnsi="Bookman Old Style" w:cs="Arial"/>
          <w:i/>
          <w:sz w:val="24"/>
          <w:szCs w:val="24"/>
        </w:rPr>
        <w:t xml:space="preserve"> dias, contados da </w:t>
      </w:r>
      <w:r w:rsidR="00E9252F">
        <w:rPr>
          <w:rFonts w:ascii="Bookman Old Style" w:eastAsia="Arial" w:hAnsi="Bookman Old Style" w:cs="Arial"/>
          <w:i/>
          <w:sz w:val="24"/>
          <w:szCs w:val="24"/>
        </w:rPr>
        <w:t xml:space="preserve">data do </w:t>
      </w:r>
      <w:r w:rsidR="00E9252F" w:rsidRPr="006847A5">
        <w:rPr>
          <w:rFonts w:ascii="Bookman Old Style" w:eastAsia="Arial" w:hAnsi="Bookman Old Style" w:cs="Arial"/>
          <w:i/>
          <w:sz w:val="24"/>
          <w:szCs w:val="24"/>
        </w:rPr>
        <w:t>recebimento da autorização de fornecimento.</w:t>
      </w:r>
    </w:p>
    <w:p w14:paraId="0CBC83C0" w14:textId="34981260" w:rsidR="00F3488B" w:rsidRDefault="00F3488B" w:rsidP="00AF3B68">
      <w:pPr>
        <w:numPr>
          <w:ilvl w:val="2"/>
          <w:numId w:val="13"/>
        </w:numPr>
        <w:pBdr>
          <w:top w:val="nil"/>
          <w:left w:val="nil"/>
          <w:bottom w:val="nil"/>
          <w:right w:val="nil"/>
          <w:between w:val="nil"/>
        </w:pBdr>
        <w:spacing w:after="120" w:line="240" w:lineRule="auto"/>
        <w:ind w:left="993"/>
        <w:jc w:val="both"/>
        <w:rPr>
          <w:rFonts w:ascii="Bookman Old Style" w:eastAsia="Arial" w:hAnsi="Bookman Old Style" w:cs="Arial"/>
          <w:sz w:val="24"/>
          <w:szCs w:val="24"/>
        </w:rPr>
      </w:pPr>
      <w:r w:rsidRPr="00E9252F">
        <w:rPr>
          <w:rFonts w:ascii="Bookman Old Style" w:eastAsia="Arial" w:hAnsi="Bookman Old Style" w:cs="Arial"/>
          <w:sz w:val="24"/>
          <w:szCs w:val="24"/>
        </w:rPr>
        <w:t xml:space="preserve"> Período de garantia de 12 (doze) meses contra defeitos de fabricação, problemas de montagem, danos estruturais e desgaste anormal dos materiais. A garantia abrange reparos ou substituição de móveis danificados ou defeituosos, garantindo a segurança e o conforto dos usuários.</w:t>
      </w:r>
    </w:p>
    <w:p w14:paraId="4905B687" w14:textId="77777777" w:rsidR="00C20AEC" w:rsidRPr="00E9252F" w:rsidRDefault="00C20AEC" w:rsidP="00C20AEC">
      <w:pPr>
        <w:pBdr>
          <w:top w:val="nil"/>
          <w:left w:val="nil"/>
          <w:bottom w:val="nil"/>
          <w:right w:val="nil"/>
          <w:between w:val="nil"/>
        </w:pBdr>
        <w:spacing w:after="120" w:line="240" w:lineRule="auto"/>
        <w:ind w:left="993"/>
        <w:jc w:val="both"/>
        <w:rPr>
          <w:rFonts w:ascii="Bookman Old Style" w:eastAsia="Arial" w:hAnsi="Bookman Old Style" w:cs="Arial"/>
          <w:sz w:val="24"/>
          <w:szCs w:val="24"/>
        </w:rPr>
      </w:pPr>
    </w:p>
    <w:p w14:paraId="25C561A6"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MODELO DE GESTÃO DO CONTRATO</w:t>
      </w:r>
    </w:p>
    <w:p w14:paraId="203FD4D4"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BD49358" w14:textId="77777777" w:rsidR="008D1E2E" w:rsidRPr="008A5529" w:rsidRDefault="008D1E2E" w:rsidP="008D1E2E">
      <w:pPr>
        <w:numPr>
          <w:ilvl w:val="1"/>
          <w:numId w:val="14"/>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35257800" w14:textId="257449C7" w:rsidR="008D1E2E" w:rsidRPr="008A5529" w:rsidRDefault="008D1E2E" w:rsidP="008D1E2E">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r w:rsidR="006847A5" w:rsidRPr="008A5529">
        <w:rPr>
          <w:rFonts w:ascii="Bookman Old Style" w:eastAsia="Arial" w:hAnsi="Bookman Old Style" w:cs="Arial"/>
          <w:color w:val="000000"/>
          <w:sz w:val="24"/>
          <w:szCs w:val="24"/>
        </w:rPr>
        <w:t>tais circunstâncias mediantes</w:t>
      </w:r>
      <w:r w:rsidRPr="008A5529">
        <w:rPr>
          <w:rFonts w:ascii="Bookman Old Style" w:eastAsia="Arial" w:hAnsi="Bookman Old Style" w:cs="Arial"/>
          <w:color w:val="000000"/>
          <w:sz w:val="24"/>
          <w:szCs w:val="24"/>
        </w:rPr>
        <w:t xml:space="preserve"> simples apostila.</w:t>
      </w:r>
    </w:p>
    <w:p w14:paraId="79797A74" w14:textId="77777777" w:rsidR="008D1E2E" w:rsidRPr="008A5529" w:rsidRDefault="008D1E2E" w:rsidP="008D1E2E">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445BA7E8" w14:textId="77777777" w:rsidR="008D1E2E" w:rsidRPr="008A5529" w:rsidRDefault="008D1E2E" w:rsidP="008D1E2E">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0B453B30" w14:textId="77777777" w:rsidR="008D1E2E" w:rsidRPr="008A5529" w:rsidRDefault="008D1E2E" w:rsidP="008D1E2E">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9FC53FC" w14:textId="77777777" w:rsidR="008D1E2E" w:rsidRPr="008A5529" w:rsidRDefault="008D1E2E" w:rsidP="008D1E2E">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Fiscalização</w:t>
      </w:r>
    </w:p>
    <w:p w14:paraId="09295A38" w14:textId="43558FA9" w:rsidR="002163E1" w:rsidRDefault="002163E1" w:rsidP="002163E1">
      <w:pPr>
        <w:numPr>
          <w:ilvl w:val="0"/>
          <w:numId w:val="31"/>
        </w:numPr>
        <w:spacing w:after="120" w:line="240" w:lineRule="auto"/>
        <w:ind w:left="851"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 execução do contrato deverá ser acompanhada e fiscalizada pelo(s) fiscal(</w:t>
      </w:r>
      <w:proofErr w:type="spellStart"/>
      <w:r>
        <w:rPr>
          <w:rFonts w:ascii="Bookman Old Style" w:eastAsia="Arial" w:hAnsi="Bookman Old Style" w:cs="Arial"/>
          <w:color w:val="000000"/>
          <w:sz w:val="24"/>
          <w:szCs w:val="24"/>
        </w:rPr>
        <w:t>is</w:t>
      </w:r>
      <w:proofErr w:type="spellEnd"/>
      <w:r>
        <w:rPr>
          <w:rFonts w:ascii="Bookman Old Style" w:eastAsia="Arial" w:hAnsi="Bookman Old Style" w:cs="Arial"/>
          <w:color w:val="000000"/>
          <w:sz w:val="24"/>
          <w:szCs w:val="24"/>
        </w:rPr>
        <w:t xml:space="preserve">) do contrato </w:t>
      </w:r>
      <w:r w:rsidR="00375C61">
        <w:rPr>
          <w:rFonts w:ascii="Bookman Old Style" w:eastAsia="Arial" w:hAnsi="Bookman Old Style" w:cs="Arial"/>
          <w:color w:val="000000"/>
          <w:sz w:val="24"/>
          <w:szCs w:val="24"/>
        </w:rPr>
        <w:t xml:space="preserve">Fernanda </w:t>
      </w:r>
      <w:proofErr w:type="spellStart"/>
      <w:r w:rsidR="00375C61">
        <w:rPr>
          <w:rFonts w:ascii="Bookman Old Style" w:eastAsia="Arial" w:hAnsi="Bookman Old Style" w:cs="Arial"/>
          <w:color w:val="000000"/>
          <w:sz w:val="24"/>
          <w:szCs w:val="24"/>
        </w:rPr>
        <w:t>Breacini</w:t>
      </w:r>
      <w:proofErr w:type="spellEnd"/>
      <w:r>
        <w:rPr>
          <w:rFonts w:ascii="Bookman Old Style" w:eastAsia="Arial" w:hAnsi="Bookman Old Style" w:cs="Arial"/>
          <w:color w:val="000000"/>
          <w:sz w:val="24"/>
          <w:szCs w:val="24"/>
        </w:rPr>
        <w:t xml:space="preserve"> e </w:t>
      </w:r>
      <w:proofErr w:type="spellStart"/>
      <w:r w:rsidR="00375C61">
        <w:rPr>
          <w:rFonts w:ascii="Bookman Old Style" w:eastAsia="Arial" w:hAnsi="Bookman Old Style" w:cs="Arial"/>
          <w:color w:val="000000"/>
          <w:sz w:val="24"/>
          <w:szCs w:val="24"/>
        </w:rPr>
        <w:t>Iunes</w:t>
      </w:r>
      <w:proofErr w:type="spellEnd"/>
      <w:r w:rsidR="00375C61">
        <w:rPr>
          <w:rFonts w:ascii="Bookman Old Style" w:eastAsia="Arial" w:hAnsi="Bookman Old Style" w:cs="Arial"/>
          <w:color w:val="000000"/>
          <w:sz w:val="24"/>
          <w:szCs w:val="24"/>
        </w:rPr>
        <w:t xml:space="preserve"> Luiz Ferraz</w:t>
      </w:r>
      <w:r>
        <w:rPr>
          <w:rFonts w:ascii="Bookman Old Style" w:eastAsia="Arial" w:hAnsi="Bookman Old Style" w:cs="Arial"/>
          <w:color w:val="000000"/>
          <w:sz w:val="24"/>
          <w:szCs w:val="24"/>
        </w:rPr>
        <w:t xml:space="preserve">, ou pelos respectivos substitutos (Lei n.º 14.133, de 2021, art. 117, caput) e pela </w:t>
      </w:r>
      <w:r w:rsidR="00864950">
        <w:rPr>
          <w:rFonts w:ascii="Bookman Old Style" w:eastAsia="Arial" w:hAnsi="Bookman Old Style" w:cs="Arial"/>
          <w:color w:val="000000"/>
          <w:sz w:val="24"/>
          <w:szCs w:val="24"/>
        </w:rPr>
        <w:t>gestora de contratos</w:t>
      </w:r>
      <w:r>
        <w:rPr>
          <w:rFonts w:ascii="Bookman Old Style" w:eastAsia="Arial" w:hAnsi="Bookman Old Style" w:cs="Arial"/>
          <w:color w:val="000000"/>
          <w:sz w:val="24"/>
          <w:szCs w:val="24"/>
        </w:rPr>
        <w:t xml:space="preserve"> Angelita Gabriel.</w:t>
      </w:r>
    </w:p>
    <w:p w14:paraId="02C29B92" w14:textId="7E7C7F37" w:rsidR="008D1E2E" w:rsidRPr="002163E1" w:rsidRDefault="008D1E2E" w:rsidP="002163E1">
      <w:pPr>
        <w:numPr>
          <w:ilvl w:val="2"/>
          <w:numId w:val="27"/>
        </w:numPr>
        <w:pBdr>
          <w:top w:val="nil"/>
          <w:left w:val="nil"/>
          <w:bottom w:val="nil"/>
          <w:right w:val="nil"/>
          <w:between w:val="nil"/>
        </w:pBdr>
        <w:spacing w:after="120" w:line="240" w:lineRule="auto"/>
        <w:ind w:left="1060" w:hanging="918"/>
        <w:jc w:val="both"/>
        <w:rPr>
          <w:rFonts w:ascii="Bookman Old Style" w:eastAsia="Arial" w:hAnsi="Bookman Old Style" w:cs="Arial"/>
          <w:color w:val="000000"/>
          <w:sz w:val="24"/>
          <w:szCs w:val="24"/>
        </w:rPr>
      </w:pPr>
      <w:r w:rsidRPr="002163E1">
        <w:rPr>
          <w:rFonts w:ascii="Bookman Old Style" w:eastAsia="Arial" w:hAnsi="Bookman Old Style" w:cs="Arial"/>
          <w:color w:val="000000"/>
          <w:sz w:val="24"/>
          <w:szCs w:val="24"/>
        </w:rPr>
        <w:t>Fiscalização Técnica</w:t>
      </w:r>
    </w:p>
    <w:p w14:paraId="7ED6DF3E"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técnico do contrato acompanhará a execução do contrato para que sejam cumpridas todas as condições estabelecidas no contrato, de modo a assegurar os melhores resultados para a Administração. (Decreto n.º 11.246, de 2022, art. 22, VI);</w:t>
      </w:r>
    </w:p>
    <w:p w14:paraId="143F3800"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fiscal técnico do contrato anotará no histórico de gerenciamento do contrato todas as ocorrências relacionadas à execução do contrato, </w:t>
      </w:r>
      <w:r w:rsidRPr="008A5529">
        <w:rPr>
          <w:rFonts w:ascii="Bookman Old Style" w:eastAsia="Arial" w:hAnsi="Bookman Old Style" w:cs="Arial"/>
          <w:color w:val="000000"/>
          <w:sz w:val="24"/>
          <w:szCs w:val="24"/>
        </w:rPr>
        <w:lastRenderedPageBreak/>
        <w:t>com a descrição do que for necessário para a regularização das faltas ou dos defeitos observados. (</w:t>
      </w:r>
      <w:r w:rsidRPr="008A5529">
        <w:rPr>
          <w:rFonts w:ascii="Bookman Old Style" w:eastAsia="Arial" w:hAnsi="Bookman Old Style" w:cs="Arial"/>
          <w:color w:val="000080"/>
          <w:sz w:val="24"/>
          <w:szCs w:val="24"/>
          <w:u w:val="single"/>
        </w:rPr>
        <w:t>Lei n.º 14.133, de 2021, art. 117, §1º</w:t>
      </w:r>
      <w:r w:rsidRPr="008A5529">
        <w:rPr>
          <w:rFonts w:ascii="Bookman Old Style" w:eastAsia="Arial" w:hAnsi="Bookman Old Style" w:cs="Arial"/>
          <w:color w:val="000000"/>
          <w:sz w:val="24"/>
          <w:szCs w:val="24"/>
        </w:rPr>
        <w:t xml:space="preserve">, e </w:t>
      </w:r>
      <w:r w:rsidRPr="008A5529">
        <w:rPr>
          <w:rFonts w:ascii="Bookman Old Style" w:eastAsia="Arial" w:hAnsi="Bookman Old Style" w:cs="Arial"/>
          <w:color w:val="000080"/>
          <w:sz w:val="24"/>
          <w:szCs w:val="24"/>
          <w:u w:val="single"/>
        </w:rPr>
        <w:t xml:space="preserve">Decreto n.º </w:t>
      </w:r>
      <w:r>
        <w:rPr>
          <w:rFonts w:ascii="Bookman Old Style" w:eastAsia="Arial" w:hAnsi="Bookman Old Style" w:cs="Arial"/>
          <w:color w:val="000080"/>
          <w:sz w:val="24"/>
          <w:szCs w:val="24"/>
          <w:u w:val="single"/>
        </w:rPr>
        <w:t>141</w:t>
      </w:r>
      <w:r w:rsidRPr="008A5529">
        <w:rPr>
          <w:rFonts w:ascii="Bookman Old Style" w:eastAsia="Arial" w:hAnsi="Bookman Old Style" w:cs="Arial"/>
          <w:color w:val="000080"/>
          <w:sz w:val="24"/>
          <w:szCs w:val="24"/>
          <w:u w:val="single"/>
        </w:rPr>
        <w:t>, de 202</w:t>
      </w:r>
      <w:r>
        <w:rPr>
          <w:rFonts w:ascii="Bookman Old Style" w:eastAsia="Arial" w:hAnsi="Bookman Old Style" w:cs="Arial"/>
          <w:color w:val="000080"/>
          <w:sz w:val="24"/>
          <w:szCs w:val="24"/>
          <w:u w:val="single"/>
        </w:rPr>
        <w:t>3</w:t>
      </w:r>
      <w:r w:rsidRPr="008A5529">
        <w:rPr>
          <w:rFonts w:ascii="Bookman Old Style" w:eastAsia="Arial" w:hAnsi="Bookman Old Style" w:cs="Arial"/>
          <w:color w:val="000080"/>
          <w:sz w:val="24"/>
          <w:szCs w:val="24"/>
          <w:u w:val="single"/>
        </w:rPr>
        <w:t>);</w:t>
      </w:r>
    </w:p>
    <w:p w14:paraId="585426C0"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Identificada qualquer inexatidão ou irregularidade, o fiscal técnico do contrato emitirá notificações para a correção da execução do contrato, determinando prazo para a correção. (Decreto n.º 11.246, de 2022, art. 22, III); </w:t>
      </w:r>
    </w:p>
    <w:p w14:paraId="2F5F69EB"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fiscal técnico do contrato informará ao gestor do </w:t>
      </w:r>
      <w:r w:rsidRPr="008A5529">
        <w:rPr>
          <w:rFonts w:ascii="Bookman Old Style" w:eastAsia="Arial" w:hAnsi="Bookman Old Style" w:cs="Arial"/>
          <w:sz w:val="24"/>
          <w:szCs w:val="24"/>
        </w:rPr>
        <w:t>contrato</w:t>
      </w:r>
      <w:r w:rsidRPr="008A5529">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 (Decreto n.º 11.246, de 2022, art. 22, IV).</w:t>
      </w:r>
    </w:p>
    <w:p w14:paraId="7A6F31DC"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No caso de ocorrências que possam inviabilizar a execução do contrato nas datas aprazadas, o fiscal técnico do contrato comunicará o fato imediatamente ao gestor do contrato. (Decreto n.º 11.246, de 2022, art. 22, V).</w:t>
      </w:r>
    </w:p>
    <w:p w14:paraId="16D8CECB" w14:textId="77777777" w:rsidR="008D1E2E" w:rsidRPr="008A5529" w:rsidRDefault="008D1E2E" w:rsidP="008D1E2E">
      <w:pPr>
        <w:numPr>
          <w:ilvl w:val="0"/>
          <w:numId w:val="24"/>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técnico do contrato comunicará ao gestor do contrato, em tempo hábil, o término do contrato sob sua responsabilidade, com vistas à renovação tempestiva ou à prorrogação contratual (Decreto n.º 11.246, de 2022, art. 22, VII).</w:t>
      </w:r>
    </w:p>
    <w:p w14:paraId="1681FD9E" w14:textId="77777777" w:rsidR="008D1E2E" w:rsidRPr="008A5529" w:rsidRDefault="008D1E2E" w:rsidP="008D1E2E">
      <w:pPr>
        <w:numPr>
          <w:ilvl w:val="2"/>
          <w:numId w:val="27"/>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Fiscalização Administrativa</w:t>
      </w:r>
    </w:p>
    <w:p w14:paraId="13EB4EE6" w14:textId="77777777" w:rsidR="008D1E2E" w:rsidRPr="008A5529" w:rsidRDefault="008D1E2E" w:rsidP="008D1E2E">
      <w:pPr>
        <w:numPr>
          <w:ilvl w:val="0"/>
          <w:numId w:val="6"/>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(Art. 23, I e II, do Decreto n.º 11.246, de 2022).</w:t>
      </w:r>
    </w:p>
    <w:p w14:paraId="453E7F62" w14:textId="77777777" w:rsidR="008D1E2E" w:rsidRPr="008A5529" w:rsidRDefault="008D1E2E" w:rsidP="008D1E2E">
      <w:pPr>
        <w:numPr>
          <w:ilvl w:val="0"/>
          <w:numId w:val="6"/>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14:paraId="0D267E81" w14:textId="77777777" w:rsidR="008D1E2E" w:rsidRPr="008A5529" w:rsidRDefault="008D1E2E" w:rsidP="008D1E2E">
      <w:pPr>
        <w:numPr>
          <w:ilvl w:val="2"/>
          <w:numId w:val="27"/>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Gestor do Contrato</w:t>
      </w:r>
    </w:p>
    <w:p w14:paraId="18CFC8A6"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6513B1A"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acompanhará os registros realizados pelos fiscais do contrato, de todas as ocorrências relacionadas à execução do contrato e as medidas adotadas, informando, se for o caso, à </w:t>
      </w:r>
      <w:r w:rsidRPr="008A5529">
        <w:rPr>
          <w:rFonts w:ascii="Bookman Old Style" w:eastAsia="Arial" w:hAnsi="Bookman Old Style" w:cs="Arial"/>
          <w:color w:val="000000"/>
          <w:sz w:val="24"/>
          <w:szCs w:val="24"/>
        </w:rPr>
        <w:lastRenderedPageBreak/>
        <w:t xml:space="preserve">autoridade superior àquelas que ultrapassarem a sua competência. (Decreto n.º 11.246, de 2022, art. 21, II). </w:t>
      </w:r>
    </w:p>
    <w:p w14:paraId="25555A7E"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acompanhará a manutenção das condições de habilitação da contratada, para fins de empenho de despesa e pagamento, e anotará os problemas que </w:t>
      </w:r>
      <w:r w:rsidRPr="008A5529">
        <w:rPr>
          <w:rFonts w:ascii="Bookman Old Style" w:eastAsia="Arial" w:hAnsi="Bookman Old Style" w:cs="Arial"/>
          <w:sz w:val="24"/>
          <w:szCs w:val="24"/>
        </w:rPr>
        <w:t>obstam</w:t>
      </w:r>
      <w:r w:rsidRPr="008A5529">
        <w:rPr>
          <w:rFonts w:ascii="Bookman Old Style" w:eastAsia="Arial" w:hAnsi="Bookman Old Style" w:cs="Arial"/>
          <w:color w:val="000000"/>
          <w:sz w:val="24"/>
          <w:szCs w:val="24"/>
        </w:rPr>
        <w:t xml:space="preserve"> o fluxo normal da liquidação e do pagamento da despesa no relatório de riscos eventuais. (Decreto n.º 11.246, de 2022, art. 21, III). </w:t>
      </w:r>
    </w:p>
    <w:p w14:paraId="567D6BF7"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24A3B48E"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37526C8D" w14:textId="77777777" w:rsidR="008D1E2E" w:rsidRPr="008A5529"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701B2334" w14:textId="77777777" w:rsidR="008D1E2E" w:rsidRDefault="008D1E2E" w:rsidP="008D1E2E">
      <w:pPr>
        <w:numPr>
          <w:ilvl w:val="0"/>
          <w:numId w:val="12"/>
        </w:numPr>
        <w:pBdr>
          <w:top w:val="nil"/>
          <w:left w:val="nil"/>
          <w:bottom w:val="nil"/>
          <w:right w:val="nil"/>
          <w:between w:val="nil"/>
        </w:pBdr>
        <w:spacing w:after="120" w:line="240" w:lineRule="auto"/>
        <w:ind w:left="851"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5C2274C1" w14:textId="77777777" w:rsidR="008D1E2E" w:rsidRPr="008A5529" w:rsidRDefault="008D1E2E" w:rsidP="008D1E2E">
      <w:pPr>
        <w:pBdr>
          <w:top w:val="nil"/>
          <w:left w:val="nil"/>
          <w:bottom w:val="nil"/>
          <w:right w:val="nil"/>
          <w:between w:val="nil"/>
        </w:pBdr>
        <w:spacing w:after="120" w:line="240" w:lineRule="auto"/>
        <w:ind w:left="851"/>
        <w:jc w:val="both"/>
        <w:rPr>
          <w:rFonts w:ascii="Bookman Old Style" w:eastAsia="Arial" w:hAnsi="Bookman Old Style" w:cs="Arial"/>
          <w:color w:val="000000"/>
          <w:sz w:val="24"/>
          <w:szCs w:val="24"/>
        </w:rPr>
      </w:pPr>
    </w:p>
    <w:p w14:paraId="30E5FB7D"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CRITÉRIOS DE RECEBIMENTO E DE PAGAMENTO</w:t>
      </w:r>
    </w:p>
    <w:p w14:paraId="01EDA90E"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57B2BDF" w14:textId="77777777" w:rsidR="008D1E2E" w:rsidRPr="008A5529" w:rsidRDefault="008D1E2E" w:rsidP="008D1E2E">
      <w:pPr>
        <w:numPr>
          <w:ilvl w:val="1"/>
          <w:numId w:val="29"/>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Recebimento Provisório e Definitivo.</w:t>
      </w:r>
    </w:p>
    <w:p w14:paraId="314EBCD1"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i/>
          <w:sz w:val="24"/>
          <w:szCs w:val="24"/>
        </w:rPr>
        <w:t xml:space="preserve">     </w:t>
      </w:r>
      <w:r w:rsidRPr="008A5529">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34AE6E40" w14:textId="2DA3AE90"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prazo de </w:t>
      </w:r>
      <w:r w:rsidR="006847A5" w:rsidRPr="006847A5">
        <w:rPr>
          <w:rFonts w:ascii="Bookman Old Style" w:eastAsia="Arial" w:hAnsi="Bookman Old Style" w:cs="Arial"/>
          <w:sz w:val="24"/>
          <w:szCs w:val="24"/>
        </w:rPr>
        <w:t>20</w:t>
      </w:r>
      <w:r w:rsidRPr="006847A5">
        <w:rPr>
          <w:rFonts w:ascii="Bookman Old Style" w:eastAsia="Arial" w:hAnsi="Bookman Old Style" w:cs="Arial"/>
          <w:sz w:val="24"/>
          <w:szCs w:val="24"/>
        </w:rPr>
        <w:t xml:space="preserve"> (</w:t>
      </w:r>
      <w:r w:rsidR="006847A5" w:rsidRPr="006847A5">
        <w:rPr>
          <w:rFonts w:ascii="Bookman Old Style" w:eastAsia="Arial" w:hAnsi="Bookman Old Style" w:cs="Arial"/>
          <w:sz w:val="24"/>
          <w:szCs w:val="24"/>
        </w:rPr>
        <w:t>vinte</w:t>
      </w:r>
      <w:r w:rsidRPr="006847A5">
        <w:rPr>
          <w:rFonts w:ascii="Bookman Old Style" w:eastAsia="Arial" w:hAnsi="Bookman Old Style" w:cs="Arial"/>
          <w:sz w:val="24"/>
          <w:szCs w:val="24"/>
        </w:rPr>
        <w:t xml:space="preserve">) </w:t>
      </w:r>
      <w:r w:rsidRPr="008A5529">
        <w:rPr>
          <w:rFonts w:ascii="Bookman Old Style" w:eastAsia="Arial" w:hAnsi="Bookman Old Style" w:cs="Arial"/>
          <w:sz w:val="24"/>
          <w:szCs w:val="24"/>
        </w:rPr>
        <w:t>dias, a contar da notificação da contratada, às suas custas, sem prejuízo da aplicação das penalidades.</w:t>
      </w:r>
    </w:p>
    <w:p w14:paraId="22C85C4D" w14:textId="7DB027AC"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lastRenderedPageBreak/>
        <w:t xml:space="preserve">O recebimento definitivo ocorrerá no prazo de </w:t>
      </w:r>
      <w:r w:rsidR="006847A5" w:rsidRPr="006847A5">
        <w:rPr>
          <w:rFonts w:ascii="Bookman Old Style" w:eastAsia="Arial" w:hAnsi="Bookman Old Style" w:cs="Arial"/>
          <w:sz w:val="24"/>
          <w:szCs w:val="24"/>
        </w:rPr>
        <w:t>10</w:t>
      </w:r>
      <w:r w:rsidRPr="006847A5">
        <w:rPr>
          <w:rFonts w:ascii="Bookman Old Style" w:eastAsia="Arial" w:hAnsi="Bookman Old Style" w:cs="Arial"/>
          <w:sz w:val="24"/>
          <w:szCs w:val="24"/>
        </w:rPr>
        <w:t xml:space="preserve"> (</w:t>
      </w:r>
      <w:r w:rsidR="006847A5" w:rsidRPr="006847A5">
        <w:rPr>
          <w:rFonts w:ascii="Bookman Old Style" w:eastAsia="Arial" w:hAnsi="Bookman Old Style" w:cs="Arial"/>
          <w:sz w:val="24"/>
          <w:szCs w:val="24"/>
        </w:rPr>
        <w:t>dez</w:t>
      </w:r>
      <w:r w:rsidRPr="006847A5">
        <w:rPr>
          <w:rFonts w:ascii="Bookman Old Style" w:eastAsia="Arial" w:hAnsi="Bookman Old Style" w:cs="Arial"/>
          <w:sz w:val="24"/>
          <w:szCs w:val="24"/>
        </w:rPr>
        <w:t>) dias úteis</w:t>
      </w:r>
      <w:r w:rsidRPr="008A5529">
        <w:rPr>
          <w:rFonts w:ascii="Bookman Old Style" w:eastAsia="Arial" w:hAnsi="Bookman Old Style" w:cs="Arial"/>
          <w:sz w:val="24"/>
          <w:szCs w:val="24"/>
        </w:rPr>
        <w:t>, a contar do recebimento da nota fiscal ou instrumento de cobrança equivalente pela Administração, após a verificação da qualidade e quantidade do material e consequente aceitação mediante termo detalhado.</w:t>
      </w:r>
    </w:p>
    <w:p w14:paraId="7B89C1A6"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6ED6E8AD"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45A919ED"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354744A"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59FDF088" w14:textId="77777777" w:rsidR="008D1E2E" w:rsidRPr="008A5529" w:rsidRDefault="008D1E2E" w:rsidP="008D1E2E">
      <w:pPr>
        <w:numPr>
          <w:ilvl w:val="1"/>
          <w:numId w:val="29"/>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Prazo de pagamento</w:t>
      </w:r>
    </w:p>
    <w:p w14:paraId="7E016D58"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pagamento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w:t>
      </w:r>
      <w:r>
        <w:rPr>
          <w:rFonts w:ascii="Bookman Old Style" w:eastAsia="Arial" w:hAnsi="Bookman Old Style" w:cs="Arial"/>
          <w:sz w:val="24"/>
          <w:szCs w:val="24"/>
        </w:rPr>
        <w:t>será(</w:t>
      </w:r>
      <w:proofErr w:type="spellStart"/>
      <w:r>
        <w:rPr>
          <w:rFonts w:ascii="Bookman Old Style" w:eastAsia="Arial" w:hAnsi="Bookman Old Style" w:cs="Arial"/>
          <w:sz w:val="24"/>
          <w:szCs w:val="24"/>
        </w:rPr>
        <w:t>ão</w:t>
      </w:r>
      <w:proofErr w:type="spellEnd"/>
      <w:r>
        <w:rPr>
          <w:rFonts w:ascii="Bookman Old Style" w:eastAsia="Arial" w:hAnsi="Bookman Old Style" w:cs="Arial"/>
          <w:sz w:val="24"/>
          <w:szCs w:val="24"/>
        </w:rPr>
        <w:t xml:space="preserve">) </w:t>
      </w:r>
      <w:r w:rsidRPr="008A5529">
        <w:rPr>
          <w:rFonts w:ascii="Bookman Old Style" w:eastAsia="Arial" w:hAnsi="Bookman Old Style" w:cs="Arial"/>
          <w:sz w:val="24"/>
          <w:szCs w:val="24"/>
        </w:rPr>
        <w:t>realizado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w:t>
      </w:r>
      <w:r>
        <w:rPr>
          <w:rFonts w:ascii="Bookman Old Style" w:eastAsia="Arial" w:hAnsi="Bookman Old Style" w:cs="Arial"/>
          <w:sz w:val="24"/>
          <w:szCs w:val="24"/>
        </w:rPr>
        <w:t xml:space="preserve">em até 30 dias após o aceite da nota fiscal ou documento equivalente. </w:t>
      </w:r>
    </w:p>
    <w:p w14:paraId="17CCB4F1" w14:textId="77777777" w:rsidR="008D1E2E" w:rsidRPr="008A5529" w:rsidRDefault="008D1E2E" w:rsidP="008D1E2E">
      <w:pPr>
        <w:numPr>
          <w:ilvl w:val="1"/>
          <w:numId w:val="29"/>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Quando do pagamento será efetuada a retenção tributária prevista na legislação aplicável.</w:t>
      </w:r>
    </w:p>
    <w:p w14:paraId="234651A7" w14:textId="77777777" w:rsidR="008D1E2E" w:rsidRPr="008A5529" w:rsidRDefault="008D1E2E" w:rsidP="008D1E2E">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5BB72DD0" w14:textId="77777777" w:rsidR="008D1E2E" w:rsidRDefault="008D1E2E" w:rsidP="008D1E2E">
      <w:pPr>
        <w:numPr>
          <w:ilvl w:val="1"/>
          <w:numId w:val="29"/>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D655C9B" w14:textId="77777777" w:rsidR="008D1E2E" w:rsidRPr="008A5529" w:rsidRDefault="008D1E2E" w:rsidP="008D1E2E">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549E6A31"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 xml:space="preserve">     FORMA E CRITÉRIOS DE SELEÇÃO DO FORNECEDOR E FORMA DE FORNECIMENTO</w:t>
      </w:r>
    </w:p>
    <w:p w14:paraId="5C5CC95E"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EA606BE" w14:textId="77777777" w:rsidR="008D1E2E" w:rsidRPr="008A5529" w:rsidRDefault="008D1E2E" w:rsidP="008D1E2E">
      <w:pPr>
        <w:numPr>
          <w:ilvl w:val="1"/>
          <w:numId w:val="30"/>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Forma de seleção e critério de julgamento da proposta</w:t>
      </w:r>
    </w:p>
    <w:p w14:paraId="725DA0EE" w14:textId="1EC9B70F" w:rsidR="008D1E2E" w:rsidRPr="006847A5" w:rsidRDefault="008D1E2E" w:rsidP="008D1E2E">
      <w:pPr>
        <w:numPr>
          <w:ilvl w:val="2"/>
          <w:numId w:val="30"/>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lastRenderedPageBreak/>
        <w:t xml:space="preserve">O fornecedor será selecionado por meio da realização de procedimento de LICITAÇÃO, na modalidade </w:t>
      </w:r>
      <w:r w:rsidRPr="006847A5">
        <w:rPr>
          <w:rFonts w:ascii="Bookman Old Style" w:eastAsia="Arial" w:hAnsi="Bookman Old Style" w:cs="Arial"/>
          <w:sz w:val="24"/>
          <w:szCs w:val="24"/>
        </w:rPr>
        <w:t>[PREGÃO</w:t>
      </w:r>
      <w:r w:rsidR="0002672A">
        <w:rPr>
          <w:rFonts w:ascii="Bookman Old Style" w:eastAsia="Arial" w:hAnsi="Bookman Old Style" w:cs="Arial"/>
          <w:sz w:val="24"/>
          <w:szCs w:val="24"/>
        </w:rPr>
        <w:t xml:space="preserve"> AQUISIÇÃO</w:t>
      </w:r>
      <w:r w:rsidRPr="006847A5">
        <w:rPr>
          <w:rFonts w:ascii="Bookman Old Style" w:eastAsia="Arial" w:hAnsi="Bookman Old Style" w:cs="Arial"/>
          <w:sz w:val="24"/>
          <w:szCs w:val="24"/>
        </w:rPr>
        <w:t xml:space="preserve">] sob a forma [ELETRÔNICA], com adoção do critério de julgamento pelo [MENOR PREÇO] </w:t>
      </w:r>
    </w:p>
    <w:p w14:paraId="0CF3B8AF" w14:textId="77777777" w:rsidR="008D1E2E" w:rsidRPr="008A5529" w:rsidRDefault="008D1E2E" w:rsidP="008D1E2E">
      <w:pPr>
        <w:numPr>
          <w:ilvl w:val="2"/>
          <w:numId w:val="30"/>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Forma de fornecimento</w:t>
      </w:r>
    </w:p>
    <w:p w14:paraId="7D00CC8A" w14:textId="0B4AD9B7" w:rsidR="008D1E2E" w:rsidRPr="008A5529" w:rsidRDefault="008D1E2E" w:rsidP="008D1E2E">
      <w:pPr>
        <w:numPr>
          <w:ilvl w:val="3"/>
          <w:numId w:val="30"/>
        </w:numPr>
        <w:pBdr>
          <w:top w:val="nil"/>
          <w:left w:val="nil"/>
          <w:bottom w:val="nil"/>
          <w:right w:val="nil"/>
          <w:between w:val="nil"/>
        </w:pBdr>
        <w:spacing w:after="120" w:line="240" w:lineRule="auto"/>
        <w:ind w:left="1174"/>
        <w:jc w:val="both"/>
        <w:rPr>
          <w:rFonts w:ascii="Bookman Old Style" w:eastAsia="Arial" w:hAnsi="Bookman Old Style" w:cs="Arial"/>
          <w:i/>
          <w:color w:val="000000"/>
          <w:sz w:val="24"/>
          <w:szCs w:val="24"/>
        </w:rPr>
      </w:pPr>
      <w:r w:rsidRPr="006847A5">
        <w:rPr>
          <w:rFonts w:ascii="Bookman Old Style" w:eastAsia="Arial" w:hAnsi="Bookman Old Style" w:cs="Arial"/>
          <w:sz w:val="24"/>
          <w:szCs w:val="24"/>
        </w:rPr>
        <w:t xml:space="preserve">O fornecimento do objeto será </w:t>
      </w:r>
      <w:r w:rsidR="006847A5" w:rsidRPr="006847A5">
        <w:rPr>
          <w:rFonts w:ascii="Bookman Old Style" w:eastAsia="Arial" w:hAnsi="Bookman Old Style" w:cs="Arial"/>
          <w:sz w:val="24"/>
          <w:szCs w:val="24"/>
        </w:rPr>
        <w:t>integral</w:t>
      </w:r>
      <w:r w:rsidRPr="008A5529">
        <w:rPr>
          <w:rFonts w:ascii="Bookman Old Style" w:eastAsia="Arial" w:hAnsi="Bookman Old Style" w:cs="Arial"/>
          <w:i/>
          <w:color w:val="000000"/>
          <w:sz w:val="24"/>
          <w:szCs w:val="24"/>
        </w:rPr>
        <w:t>.</w:t>
      </w:r>
    </w:p>
    <w:p w14:paraId="22B3C877" w14:textId="77777777" w:rsidR="008D1E2E" w:rsidRPr="008A5529" w:rsidRDefault="008D1E2E" w:rsidP="008D1E2E">
      <w:pPr>
        <w:numPr>
          <w:ilvl w:val="1"/>
          <w:numId w:val="3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Exigências de habilitação</w:t>
      </w:r>
    </w:p>
    <w:p w14:paraId="661E3A4C" w14:textId="77777777" w:rsidR="008D1E2E" w:rsidRPr="008A5529" w:rsidRDefault="008D1E2E" w:rsidP="008D1E2E">
      <w:pPr>
        <w:numPr>
          <w:ilvl w:val="2"/>
          <w:numId w:val="30"/>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Para fins de habilitação, deverá o licitante comprovar os seguintes requisitos:</w:t>
      </w:r>
    </w:p>
    <w:p w14:paraId="30AF50E0" w14:textId="77777777" w:rsidR="008D1E2E" w:rsidRPr="008A5529" w:rsidRDefault="008D1E2E" w:rsidP="008D1E2E">
      <w:pPr>
        <w:numPr>
          <w:ilvl w:val="0"/>
          <w:numId w:val="15"/>
        </w:numPr>
        <w:pBdr>
          <w:top w:val="nil"/>
          <w:left w:val="nil"/>
          <w:bottom w:val="nil"/>
          <w:right w:val="nil"/>
          <w:between w:val="nil"/>
        </w:pBdr>
        <w:spacing w:after="120" w:line="240" w:lineRule="auto"/>
        <w:ind w:left="35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Habilitação jurídica</w:t>
      </w:r>
    </w:p>
    <w:p w14:paraId="50BE5DFE" w14:textId="77777777" w:rsidR="008D1E2E" w:rsidRPr="008A5529" w:rsidRDefault="008D1E2E" w:rsidP="008D1E2E">
      <w:pPr>
        <w:numPr>
          <w:ilvl w:val="0"/>
          <w:numId w:val="18"/>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Cédula de identidade; </w:t>
      </w:r>
    </w:p>
    <w:p w14:paraId="3228B117" w14:textId="77777777" w:rsidR="008D1E2E" w:rsidRPr="008A5529" w:rsidRDefault="008D1E2E" w:rsidP="008D1E2E">
      <w:pPr>
        <w:numPr>
          <w:ilvl w:val="0"/>
          <w:numId w:val="18"/>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5E1E94B3" w14:textId="77777777" w:rsidR="008D1E2E" w:rsidRPr="008A5529" w:rsidRDefault="008D1E2E" w:rsidP="008D1E2E">
      <w:pPr>
        <w:numPr>
          <w:ilvl w:val="0"/>
          <w:numId w:val="18"/>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bookmarkStart w:id="0" w:name="_heading=h.3znysh7" w:colFirst="0" w:colLast="0"/>
      <w:bookmarkEnd w:id="0"/>
      <w:r w:rsidRPr="008A5529">
        <w:rPr>
          <w:rFonts w:ascii="Bookman Old Style" w:eastAsia="Arial" w:hAnsi="Bookman Old Style" w:cs="Arial"/>
          <w:color w:val="000000"/>
          <w:sz w:val="24"/>
          <w:szCs w:val="24"/>
        </w:rPr>
        <w:t>Os documentos apresentados deverão estar acompanhados de todas as alterações ou da consolidação respectiva.</w:t>
      </w:r>
    </w:p>
    <w:p w14:paraId="563B6C98" w14:textId="77777777" w:rsidR="008D1E2E" w:rsidRPr="008A5529" w:rsidRDefault="008D1E2E" w:rsidP="008D1E2E">
      <w:pPr>
        <w:numPr>
          <w:ilvl w:val="0"/>
          <w:numId w:val="15"/>
        </w:numPr>
        <w:pBdr>
          <w:top w:val="nil"/>
          <w:left w:val="nil"/>
          <w:bottom w:val="nil"/>
          <w:right w:val="nil"/>
          <w:between w:val="nil"/>
        </w:pBdr>
        <w:spacing w:after="120" w:line="240" w:lineRule="auto"/>
        <w:ind w:left="35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Habilitação fiscal, social e trabalhista</w:t>
      </w:r>
    </w:p>
    <w:p w14:paraId="40C1EDB1"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inscrição no Cadastro Nacional de Pessoas Jurídicas ou no Cadastro de Pessoas Físicas, conforme o caso;</w:t>
      </w:r>
    </w:p>
    <w:p w14:paraId="6AC87D69"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8800461"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regularidade com o Fundo de Garantia do Tempo de Serviço (FGTS);</w:t>
      </w:r>
    </w:p>
    <w:p w14:paraId="5234D1FB"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530F02" w14:textId="77777777" w:rsidR="008D1E2E" w:rsidRPr="00566C6D"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sz w:val="24"/>
          <w:szCs w:val="24"/>
        </w:rPr>
      </w:pPr>
      <w:bookmarkStart w:id="1" w:name="_GoBack"/>
      <w:bookmarkEnd w:id="1"/>
      <w:r w:rsidRPr="00566C6D">
        <w:rPr>
          <w:rFonts w:ascii="Bookman Old Style" w:eastAsia="Arial" w:hAnsi="Bookman Old Style" w:cs="Arial"/>
          <w:sz w:val="24"/>
          <w:szCs w:val="24"/>
        </w:rPr>
        <w:lastRenderedPageBreak/>
        <w:t xml:space="preserve">Prova de regularidade com a Fazenda </w:t>
      </w:r>
      <w:r w:rsidRPr="00566C6D">
        <w:rPr>
          <w:rFonts w:ascii="Bookman Old Style" w:eastAsia="Arial" w:hAnsi="Bookman Old Style" w:cs="Arial"/>
          <w:i/>
          <w:sz w:val="24"/>
          <w:szCs w:val="24"/>
        </w:rPr>
        <w:t xml:space="preserve">[Estadual/Distrital] ou [Municipal/Distrital] </w:t>
      </w:r>
      <w:r w:rsidRPr="00566C6D">
        <w:rPr>
          <w:rFonts w:ascii="Bookman Old Style" w:eastAsia="Arial" w:hAnsi="Bookman Old Style" w:cs="Arial"/>
          <w:sz w:val="24"/>
          <w:szCs w:val="24"/>
        </w:rPr>
        <w:t>do domicílio ou sede do fornecedor, relativa à atividade em cujo exercício contrata ou concorre;</w:t>
      </w:r>
    </w:p>
    <w:p w14:paraId="0E73C135"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566C6D">
        <w:rPr>
          <w:rFonts w:ascii="Bookman Old Style" w:eastAsia="Arial" w:hAnsi="Bookman Old Style" w:cs="Arial"/>
          <w:sz w:val="24"/>
          <w:szCs w:val="24"/>
        </w:rPr>
        <w:t xml:space="preserve">Caso o fornecedor seja considerado isento dos tributos </w:t>
      </w:r>
      <w:r w:rsidRPr="00566C6D">
        <w:rPr>
          <w:rFonts w:ascii="Bookman Old Style" w:eastAsia="Arial" w:hAnsi="Bookman Old Style" w:cs="Arial"/>
          <w:i/>
          <w:sz w:val="24"/>
          <w:szCs w:val="24"/>
        </w:rPr>
        <w:t xml:space="preserve">[Estadual/Distrital] ou [Municipal/Distrital] </w:t>
      </w:r>
      <w:r w:rsidRPr="00566C6D">
        <w:rPr>
          <w:rFonts w:ascii="Bookman Old Style" w:eastAsia="Arial" w:hAnsi="Bookman Old Style" w:cs="Arial"/>
          <w:sz w:val="24"/>
          <w:szCs w:val="24"/>
        </w:rPr>
        <w:t xml:space="preserve">relacionado ao objeto contratual, deverá comprovar tal condição mediante a apresentação de declaração da Fazenda </w:t>
      </w:r>
      <w:r w:rsidRPr="008A5529">
        <w:rPr>
          <w:rFonts w:ascii="Bookman Old Style" w:eastAsia="Arial" w:hAnsi="Bookman Old Style" w:cs="Arial"/>
          <w:color w:val="000000"/>
          <w:sz w:val="24"/>
          <w:szCs w:val="24"/>
        </w:rPr>
        <w:t>respectiva do seu domicílio ou sede, ou outra equivalente, na forma da lei.</w:t>
      </w:r>
    </w:p>
    <w:p w14:paraId="09C7BCF0" w14:textId="77777777" w:rsidR="008D1E2E" w:rsidRPr="008A5529" w:rsidRDefault="008D1E2E" w:rsidP="008D1E2E">
      <w:pPr>
        <w:numPr>
          <w:ilvl w:val="0"/>
          <w:numId w:val="1"/>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4EA7FCE2" w14:textId="77777777" w:rsidR="008D1E2E" w:rsidRPr="008A5529" w:rsidRDefault="008D1E2E" w:rsidP="008D1E2E">
      <w:pPr>
        <w:numPr>
          <w:ilvl w:val="0"/>
          <w:numId w:val="15"/>
        </w:numPr>
        <w:pBdr>
          <w:top w:val="nil"/>
          <w:left w:val="nil"/>
          <w:bottom w:val="nil"/>
          <w:right w:val="nil"/>
          <w:between w:val="nil"/>
        </w:pBdr>
        <w:spacing w:after="120" w:line="240" w:lineRule="auto"/>
        <w:ind w:left="35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Qualificação Econômico-Financeira</w:t>
      </w:r>
    </w:p>
    <w:p w14:paraId="1D9D3EB3" w14:textId="77777777" w:rsidR="008D1E2E" w:rsidRPr="008A5529" w:rsidRDefault="008D1E2E" w:rsidP="008D1E2E">
      <w:pPr>
        <w:numPr>
          <w:ilvl w:val="0"/>
          <w:numId w:val="4"/>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Certidão negativa de insolvência civil expedida pelo distribuidor do domicílio ou sede do licitante, caso se trate de pessoa física, desde que admitida a sua participação na licitação (</w:t>
      </w:r>
      <w:r w:rsidRPr="008A5529">
        <w:rPr>
          <w:rFonts w:ascii="Bookman Old Style" w:eastAsia="Arial" w:hAnsi="Bookman Old Style" w:cs="Arial"/>
          <w:color w:val="000080"/>
          <w:sz w:val="24"/>
          <w:szCs w:val="24"/>
          <w:u w:val="single"/>
        </w:rPr>
        <w:t>art. 5º, inciso II, alínea “c”, da Instrução Normativa Seges/ME n.º 116, de 2021</w:t>
      </w:r>
      <w:r w:rsidRPr="008A5529">
        <w:rPr>
          <w:rFonts w:ascii="Bookman Old Style" w:eastAsia="Arial" w:hAnsi="Bookman Old Style" w:cs="Arial"/>
          <w:color w:val="000000"/>
          <w:sz w:val="24"/>
          <w:szCs w:val="24"/>
        </w:rPr>
        <w:t xml:space="preserve">), ou de sociedade simples; </w:t>
      </w:r>
    </w:p>
    <w:p w14:paraId="347B0F47" w14:textId="77777777" w:rsidR="008D1E2E" w:rsidRPr="008A5529" w:rsidRDefault="008D1E2E" w:rsidP="008D1E2E">
      <w:pPr>
        <w:numPr>
          <w:ilvl w:val="0"/>
          <w:numId w:val="4"/>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Certidão negativa de falência expedida pelo distribuidor da sede do fornecedor - </w:t>
      </w:r>
      <w:r w:rsidRPr="008A5529">
        <w:rPr>
          <w:rFonts w:ascii="Bookman Old Style" w:eastAsia="Arial" w:hAnsi="Bookman Old Style" w:cs="Arial"/>
          <w:color w:val="000080"/>
          <w:sz w:val="24"/>
          <w:szCs w:val="24"/>
          <w:u w:val="single"/>
        </w:rPr>
        <w:t>Lei n.º 14.133, de 2021, art. 69, caput, inciso II</w:t>
      </w:r>
      <w:r w:rsidRPr="008A5529">
        <w:rPr>
          <w:rFonts w:ascii="Bookman Old Style" w:eastAsia="Arial" w:hAnsi="Bookman Old Style" w:cs="Arial"/>
          <w:color w:val="000000"/>
          <w:sz w:val="24"/>
          <w:szCs w:val="24"/>
        </w:rPr>
        <w:t>);</w:t>
      </w:r>
    </w:p>
    <w:p w14:paraId="7005DDBF" w14:textId="77777777" w:rsidR="008D1E2E" w:rsidRPr="008A5529" w:rsidRDefault="008D1E2E" w:rsidP="008D1E2E">
      <w:pPr>
        <w:numPr>
          <w:ilvl w:val="0"/>
          <w:numId w:val="4"/>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2C18E91D" w14:textId="77777777" w:rsidR="008D1E2E" w:rsidRPr="008A5529"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 Índices de Liquidez Geral (LG), Liquidez Corrente (LC), e Solvência Geral (SG) superiores a 1 (um);</w:t>
      </w:r>
    </w:p>
    <w:p w14:paraId="52B3D9C5" w14:textId="77777777" w:rsidR="008D1E2E" w:rsidRPr="008A5529"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58B64B68" w14:textId="77777777" w:rsidR="008D1E2E" w:rsidRPr="008A5529"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6477C3C0" w14:textId="77777777" w:rsidR="008D1E2E" w:rsidRPr="00566C6D"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 xml:space="preserve">Os documentos referidos acima deverão ser exigidos com base no limite definido pela Receita Federal do Brasil para transmissão da </w:t>
      </w:r>
      <w:r w:rsidRPr="00566C6D">
        <w:rPr>
          <w:rFonts w:ascii="Bookman Old Style" w:eastAsia="Arial" w:hAnsi="Bookman Old Style" w:cs="Arial"/>
          <w:sz w:val="24"/>
          <w:szCs w:val="24"/>
        </w:rPr>
        <w:t xml:space="preserve">Escrituração Contábil Digital - </w:t>
      </w:r>
      <w:proofErr w:type="spellStart"/>
      <w:r w:rsidRPr="00566C6D">
        <w:rPr>
          <w:rFonts w:ascii="Bookman Old Style" w:eastAsia="Arial" w:hAnsi="Bookman Old Style" w:cs="Arial"/>
          <w:sz w:val="24"/>
          <w:szCs w:val="24"/>
        </w:rPr>
        <w:t>ECD</w:t>
      </w:r>
      <w:proofErr w:type="spellEnd"/>
      <w:r w:rsidRPr="00566C6D">
        <w:rPr>
          <w:rFonts w:ascii="Bookman Old Style" w:eastAsia="Arial" w:hAnsi="Bookman Old Style" w:cs="Arial"/>
          <w:sz w:val="24"/>
          <w:szCs w:val="24"/>
        </w:rPr>
        <w:t xml:space="preserve"> ao </w:t>
      </w:r>
      <w:proofErr w:type="spellStart"/>
      <w:r w:rsidRPr="00566C6D">
        <w:rPr>
          <w:rFonts w:ascii="Bookman Old Style" w:eastAsia="Arial" w:hAnsi="Bookman Old Style" w:cs="Arial"/>
          <w:sz w:val="24"/>
          <w:szCs w:val="24"/>
        </w:rPr>
        <w:t>Sped</w:t>
      </w:r>
      <w:proofErr w:type="spellEnd"/>
      <w:r w:rsidRPr="00566C6D">
        <w:rPr>
          <w:rFonts w:ascii="Bookman Old Style" w:eastAsia="Arial" w:hAnsi="Bookman Old Style" w:cs="Arial"/>
          <w:sz w:val="24"/>
          <w:szCs w:val="24"/>
        </w:rPr>
        <w:t>.</w:t>
      </w:r>
    </w:p>
    <w:p w14:paraId="619D76F6" w14:textId="77777777" w:rsidR="008D1E2E" w:rsidRPr="00566C6D" w:rsidRDefault="008D1E2E" w:rsidP="008D1E2E">
      <w:pPr>
        <w:numPr>
          <w:ilvl w:val="0"/>
          <w:numId w:val="26"/>
        </w:numPr>
        <w:pBdr>
          <w:top w:val="nil"/>
          <w:left w:val="nil"/>
          <w:bottom w:val="nil"/>
          <w:right w:val="nil"/>
          <w:between w:val="nil"/>
        </w:pBdr>
        <w:spacing w:after="120" w:line="240" w:lineRule="auto"/>
        <w:jc w:val="both"/>
        <w:rPr>
          <w:rFonts w:ascii="Bookman Old Style" w:eastAsia="Arial" w:hAnsi="Bookman Old Style" w:cs="Arial"/>
          <w:sz w:val="24"/>
          <w:szCs w:val="24"/>
        </w:rPr>
      </w:pPr>
      <w:r w:rsidRPr="00566C6D">
        <w:rPr>
          <w:rFonts w:ascii="Bookman Old Style" w:eastAsia="Arial" w:hAnsi="Bookman Old Style" w:cs="Arial"/>
          <w:sz w:val="24"/>
          <w:szCs w:val="24"/>
        </w:rPr>
        <w:t xml:space="preserve">Caso a empresa licitante apresente resultado inferior ou igual a 1 (um) em qualquer dos índices de Liquidez Geral (LG), Solvência Geral (SG) e Liquidez Corrente (LC), será exigido para fins de habilitação [capital mínimo] </w:t>
      </w:r>
      <w:r w:rsidRPr="00566C6D">
        <w:rPr>
          <w:rFonts w:ascii="Bookman Old Style" w:eastAsia="Arial" w:hAnsi="Bookman Old Style" w:cs="Arial"/>
          <w:sz w:val="24"/>
          <w:szCs w:val="24"/>
          <w:u w:val="single"/>
        </w:rPr>
        <w:t xml:space="preserve">OU </w:t>
      </w:r>
      <w:r w:rsidRPr="00566C6D">
        <w:rPr>
          <w:rFonts w:ascii="Bookman Old Style" w:eastAsia="Arial" w:hAnsi="Bookman Old Style" w:cs="Arial"/>
          <w:sz w:val="24"/>
          <w:szCs w:val="24"/>
        </w:rPr>
        <w:t xml:space="preserve">[patrimônio líquido mínimo] de......% [até 10%] do [valor total estimado da contratação] </w:t>
      </w:r>
      <w:r w:rsidRPr="00566C6D">
        <w:rPr>
          <w:rFonts w:ascii="Bookman Old Style" w:eastAsia="Arial" w:hAnsi="Bookman Old Style" w:cs="Arial"/>
          <w:sz w:val="24"/>
          <w:szCs w:val="24"/>
          <w:u w:val="single"/>
        </w:rPr>
        <w:t>OU</w:t>
      </w:r>
      <w:r w:rsidRPr="00566C6D">
        <w:rPr>
          <w:rFonts w:ascii="Bookman Old Style" w:eastAsia="Arial" w:hAnsi="Bookman Old Style" w:cs="Arial"/>
          <w:sz w:val="24"/>
          <w:szCs w:val="24"/>
        </w:rPr>
        <w:t xml:space="preserve"> [valor total estimado da parcela pertinente].</w:t>
      </w:r>
    </w:p>
    <w:p w14:paraId="70E9AFE1" w14:textId="77777777" w:rsidR="008D1E2E" w:rsidRPr="00566C6D" w:rsidRDefault="008D1E2E" w:rsidP="008D1E2E">
      <w:pPr>
        <w:numPr>
          <w:ilvl w:val="0"/>
          <w:numId w:val="7"/>
        </w:numPr>
        <w:pBdr>
          <w:top w:val="nil"/>
          <w:left w:val="nil"/>
          <w:bottom w:val="nil"/>
          <w:right w:val="nil"/>
          <w:between w:val="nil"/>
        </w:pBdr>
        <w:spacing w:after="120" w:line="240" w:lineRule="auto"/>
        <w:jc w:val="both"/>
        <w:rPr>
          <w:rFonts w:ascii="Bookman Old Style" w:eastAsia="Arial" w:hAnsi="Bookman Old Style" w:cs="Arial"/>
          <w:sz w:val="24"/>
          <w:szCs w:val="24"/>
        </w:rPr>
      </w:pPr>
      <w:r w:rsidRPr="00566C6D">
        <w:rPr>
          <w:rFonts w:ascii="Bookman Old Style" w:eastAsia="Arial" w:hAnsi="Bookman Old Style" w:cs="Arial"/>
          <w:sz w:val="24"/>
          <w:szCs w:val="24"/>
        </w:rPr>
        <w:t xml:space="preserve">As empresas criadas no exercício financeiro da licitação deverão atender a todas as exigências da habilitação e poderão substituir </w:t>
      </w:r>
      <w:r w:rsidRPr="00566C6D">
        <w:rPr>
          <w:rFonts w:ascii="Bookman Old Style" w:eastAsia="Arial" w:hAnsi="Bookman Old Style" w:cs="Arial"/>
          <w:sz w:val="24"/>
          <w:szCs w:val="24"/>
        </w:rPr>
        <w:lastRenderedPageBreak/>
        <w:t>os demonstrativos contábeis pelo balanço de abertura. (Lei n.º 14.133, de 2021, art. 65, §1º).</w:t>
      </w:r>
    </w:p>
    <w:p w14:paraId="500D35E3" w14:textId="77777777" w:rsidR="008D1E2E" w:rsidRPr="00566C6D" w:rsidRDefault="008D1E2E" w:rsidP="008D1E2E">
      <w:pPr>
        <w:numPr>
          <w:ilvl w:val="0"/>
          <w:numId w:val="7"/>
        </w:numPr>
        <w:pBdr>
          <w:top w:val="nil"/>
          <w:left w:val="nil"/>
          <w:bottom w:val="nil"/>
          <w:right w:val="nil"/>
          <w:between w:val="nil"/>
        </w:pBdr>
        <w:spacing w:after="120" w:line="240" w:lineRule="auto"/>
        <w:jc w:val="both"/>
        <w:rPr>
          <w:rFonts w:ascii="Bookman Old Style" w:eastAsia="Arial" w:hAnsi="Bookman Old Style" w:cs="Arial"/>
          <w:sz w:val="24"/>
          <w:szCs w:val="24"/>
        </w:rPr>
      </w:pPr>
      <w:r w:rsidRPr="00566C6D">
        <w:rPr>
          <w:rFonts w:ascii="Bookman Old Style" w:eastAsia="Arial" w:hAnsi="Bookman Old Style" w:cs="Arial"/>
          <w:i/>
          <w:sz w:val="24"/>
          <w:szCs w:val="24"/>
        </w:rPr>
        <w:t>O atendimento dos índices econômicos previstos neste item deverá ser atestado mediante declaração assinada por profissional habilitado da área contábil, apresentada pelo fornecedor.</w:t>
      </w:r>
    </w:p>
    <w:p w14:paraId="25D915B7" w14:textId="77777777" w:rsidR="008D1E2E" w:rsidRPr="008A5529" w:rsidRDefault="008D1E2E" w:rsidP="008D1E2E">
      <w:pPr>
        <w:numPr>
          <w:ilvl w:val="0"/>
          <w:numId w:val="15"/>
        </w:numPr>
        <w:pBdr>
          <w:top w:val="nil"/>
          <w:left w:val="nil"/>
          <w:bottom w:val="nil"/>
          <w:right w:val="nil"/>
          <w:between w:val="nil"/>
        </w:pBdr>
        <w:spacing w:after="120" w:line="240" w:lineRule="auto"/>
        <w:ind w:left="35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Qualificação Técnica</w:t>
      </w:r>
    </w:p>
    <w:p w14:paraId="189ADD06" w14:textId="77777777" w:rsidR="00F72C6C" w:rsidRPr="00566C6D" w:rsidRDefault="006847A5" w:rsidP="006847A5">
      <w:pPr>
        <w:pBdr>
          <w:top w:val="nil"/>
          <w:left w:val="nil"/>
          <w:bottom w:val="nil"/>
          <w:right w:val="nil"/>
          <w:between w:val="nil"/>
        </w:pBdr>
        <w:spacing w:after="120" w:line="240" w:lineRule="auto"/>
        <w:ind w:left="888"/>
        <w:jc w:val="both"/>
        <w:rPr>
          <w:rFonts w:ascii="Bookman Old Style" w:eastAsia="Arial" w:hAnsi="Bookman Old Style" w:cs="Arial"/>
          <w:sz w:val="24"/>
          <w:szCs w:val="24"/>
        </w:rPr>
      </w:pPr>
      <w:r>
        <w:rPr>
          <w:rFonts w:ascii="Bookman Old Style" w:eastAsia="Arial" w:hAnsi="Bookman Old Style" w:cs="Arial"/>
          <w:sz w:val="24"/>
          <w:szCs w:val="24"/>
        </w:rPr>
        <w:t>a</w:t>
      </w:r>
      <w:r w:rsidR="008D1E2E" w:rsidRPr="008A5529">
        <w:rPr>
          <w:rFonts w:ascii="Bookman Old Style" w:eastAsia="Arial" w:hAnsi="Bookman Old Style" w:cs="Arial"/>
          <w:sz w:val="24"/>
          <w:szCs w:val="24"/>
        </w:rPr>
        <w:t>)</w:t>
      </w:r>
      <w:r w:rsidRPr="006847A5">
        <w:t xml:space="preserve"> </w:t>
      </w:r>
      <w:r w:rsidRPr="00566C6D">
        <w:rPr>
          <w:rFonts w:ascii="Bookman Old Style" w:eastAsia="Arial" w:hAnsi="Bookman Old Style" w:cs="Arial"/>
          <w:sz w:val="24"/>
          <w:szCs w:val="24"/>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301AE2C" w14:textId="068DD8C0" w:rsidR="008D1E2E" w:rsidRPr="00566C6D" w:rsidRDefault="008D1E2E" w:rsidP="006847A5">
      <w:pPr>
        <w:pBdr>
          <w:top w:val="nil"/>
          <w:left w:val="nil"/>
          <w:bottom w:val="nil"/>
          <w:right w:val="nil"/>
          <w:between w:val="nil"/>
        </w:pBdr>
        <w:spacing w:after="120" w:line="240" w:lineRule="auto"/>
        <w:ind w:left="888"/>
        <w:jc w:val="both"/>
        <w:rPr>
          <w:rFonts w:ascii="Bookman Old Style" w:eastAsia="Arial" w:hAnsi="Bookman Old Style" w:cs="Arial"/>
          <w:sz w:val="24"/>
          <w:szCs w:val="24"/>
        </w:rPr>
      </w:pPr>
      <w:r w:rsidRPr="00566C6D">
        <w:rPr>
          <w:rFonts w:ascii="Bookman Old Style" w:eastAsia="Arial" w:hAnsi="Bookman Old Style" w:cs="Arial"/>
          <w:sz w:val="24"/>
          <w:szCs w:val="24"/>
        </w:rPr>
        <w:t xml:space="preserve">b. </w:t>
      </w:r>
      <w:r w:rsidR="00F72C6C" w:rsidRPr="00566C6D">
        <w:rPr>
          <w:rFonts w:ascii="Bookman Old Style" w:eastAsia="Arial" w:hAnsi="Bookman Old Style" w:cs="Arial"/>
          <w:sz w:val="24"/>
          <w:szCs w:val="24"/>
        </w:rPr>
        <w:t>Para fins da comprovação de que trata este subitem, os atestados deverão dizer respeito a contratos executados com as seguintes características mínimas:</w:t>
      </w:r>
    </w:p>
    <w:p w14:paraId="451AC728" w14:textId="533541BB" w:rsidR="00C7023F" w:rsidRDefault="00566C6D" w:rsidP="008D1E2E">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20F85">
        <w:rPr>
          <w:rFonts w:ascii="Bookman Old Style" w:eastAsia="Arial" w:hAnsi="Bookman Old Style" w:cs="Arial"/>
          <w:sz w:val="24"/>
          <w:szCs w:val="24"/>
        </w:rPr>
        <w:t xml:space="preserve">            </w:t>
      </w:r>
      <w:r w:rsidR="008D1E2E" w:rsidRPr="00320F85">
        <w:rPr>
          <w:rFonts w:ascii="Bookman Old Style" w:eastAsia="Arial" w:hAnsi="Bookman Old Style" w:cs="Arial"/>
          <w:sz w:val="24"/>
          <w:szCs w:val="24"/>
        </w:rPr>
        <w:t>b.1</w:t>
      </w:r>
      <w:r w:rsidR="00C7023F">
        <w:rPr>
          <w:rFonts w:ascii="Bookman Old Style" w:eastAsia="Arial" w:hAnsi="Bookman Old Style" w:cs="Arial"/>
          <w:sz w:val="24"/>
          <w:szCs w:val="24"/>
        </w:rPr>
        <w:t>.</w:t>
      </w:r>
      <w:r w:rsidR="008D1E2E" w:rsidRPr="00320F85">
        <w:rPr>
          <w:rFonts w:ascii="Bookman Old Style" w:eastAsia="Arial" w:hAnsi="Bookman Old Style" w:cs="Arial"/>
          <w:sz w:val="24"/>
          <w:szCs w:val="24"/>
        </w:rPr>
        <w:t xml:space="preserve"> </w:t>
      </w:r>
      <w:r w:rsidR="00F72C6C" w:rsidRPr="00320F85">
        <w:rPr>
          <w:rFonts w:ascii="Bookman Old Style" w:eastAsia="Arial" w:hAnsi="Bookman Old Style" w:cs="Arial"/>
          <w:sz w:val="24"/>
          <w:szCs w:val="24"/>
        </w:rPr>
        <w:t xml:space="preserve"> Ter executado a prestação de serviço similar ao solicitado.</w:t>
      </w:r>
    </w:p>
    <w:p w14:paraId="1607B2D1" w14:textId="5E3BF6D2" w:rsidR="008D1E2E" w:rsidRPr="00320F85" w:rsidRDefault="008D1E2E" w:rsidP="00C7023F">
      <w:pPr>
        <w:pBdr>
          <w:top w:val="nil"/>
          <w:left w:val="nil"/>
          <w:bottom w:val="nil"/>
          <w:right w:val="nil"/>
          <w:between w:val="nil"/>
        </w:pBdr>
        <w:spacing w:after="120" w:line="240" w:lineRule="auto"/>
        <w:ind w:left="851"/>
        <w:jc w:val="both"/>
        <w:rPr>
          <w:rFonts w:ascii="Bookman Old Style" w:eastAsia="Arial" w:hAnsi="Bookman Old Style" w:cs="Arial"/>
          <w:sz w:val="24"/>
          <w:szCs w:val="24"/>
        </w:rPr>
      </w:pPr>
      <w:r w:rsidRPr="00320F85">
        <w:rPr>
          <w:rFonts w:ascii="Bookman Old Style" w:eastAsia="Arial" w:hAnsi="Bookman Old Style" w:cs="Arial"/>
          <w:sz w:val="24"/>
          <w:szCs w:val="24"/>
        </w:rPr>
        <w:t xml:space="preserve">c) Será admitida, para fins de comprovação de quantitativo mínimo, a </w:t>
      </w:r>
      <w:r w:rsidR="00320F85" w:rsidRPr="00320F85">
        <w:rPr>
          <w:rFonts w:ascii="Bookman Old Style" w:eastAsia="Arial" w:hAnsi="Bookman Old Style" w:cs="Arial"/>
          <w:sz w:val="24"/>
          <w:szCs w:val="24"/>
        </w:rPr>
        <w:t xml:space="preserve">    </w:t>
      </w:r>
      <w:r w:rsidR="00C7023F">
        <w:rPr>
          <w:rFonts w:ascii="Bookman Old Style" w:eastAsia="Arial" w:hAnsi="Bookman Old Style" w:cs="Arial"/>
          <w:sz w:val="24"/>
          <w:szCs w:val="24"/>
        </w:rPr>
        <w:t xml:space="preserve">   </w:t>
      </w:r>
      <w:r w:rsidRPr="00320F85">
        <w:rPr>
          <w:rFonts w:ascii="Bookman Old Style" w:eastAsia="Arial" w:hAnsi="Bookman Old Style" w:cs="Arial"/>
          <w:sz w:val="24"/>
          <w:szCs w:val="24"/>
        </w:rPr>
        <w:t>apresentação e o somatório de diferentes atestados executados de forma concomitante.</w:t>
      </w:r>
    </w:p>
    <w:p w14:paraId="4063C4AE" w14:textId="42C78D7E" w:rsidR="008D1E2E" w:rsidRPr="00320F85" w:rsidRDefault="008D1E2E" w:rsidP="00C7023F">
      <w:pPr>
        <w:pBdr>
          <w:top w:val="nil"/>
          <w:left w:val="nil"/>
          <w:bottom w:val="nil"/>
          <w:right w:val="nil"/>
          <w:between w:val="nil"/>
        </w:pBdr>
        <w:spacing w:after="120" w:line="240" w:lineRule="auto"/>
        <w:ind w:left="851"/>
        <w:jc w:val="both"/>
        <w:rPr>
          <w:rFonts w:ascii="Bookman Old Style" w:eastAsia="Arial" w:hAnsi="Bookman Old Style" w:cs="Arial"/>
          <w:sz w:val="24"/>
          <w:szCs w:val="24"/>
        </w:rPr>
      </w:pPr>
      <w:r w:rsidRPr="00320F85">
        <w:rPr>
          <w:rFonts w:ascii="Bookman Old Style" w:eastAsia="Arial" w:hAnsi="Bookman Old Style" w:cs="Arial"/>
          <w:sz w:val="24"/>
          <w:szCs w:val="24"/>
        </w:rPr>
        <w:t xml:space="preserve">d) Os atestados de capacidade técnica poderão ser apresentados </w:t>
      </w:r>
      <w:r w:rsidR="00C7023F">
        <w:rPr>
          <w:rFonts w:ascii="Bookman Old Style" w:eastAsia="Arial" w:hAnsi="Bookman Old Style" w:cs="Arial"/>
          <w:sz w:val="24"/>
          <w:szCs w:val="24"/>
        </w:rPr>
        <w:t xml:space="preserve">em </w:t>
      </w:r>
      <w:r w:rsidRPr="00320F85">
        <w:rPr>
          <w:rFonts w:ascii="Bookman Old Style" w:eastAsia="Arial" w:hAnsi="Bookman Old Style" w:cs="Arial"/>
          <w:sz w:val="24"/>
          <w:szCs w:val="24"/>
        </w:rPr>
        <w:t>nome da matriz ou da filial do fornecedor.</w:t>
      </w:r>
    </w:p>
    <w:p w14:paraId="4E7D2F5C" w14:textId="75BA5533" w:rsidR="008D1E2E" w:rsidRDefault="008D1E2E" w:rsidP="00C7023F">
      <w:pPr>
        <w:pBdr>
          <w:top w:val="nil"/>
          <w:left w:val="nil"/>
          <w:bottom w:val="nil"/>
          <w:right w:val="nil"/>
          <w:between w:val="nil"/>
        </w:pBdr>
        <w:spacing w:after="120" w:line="240" w:lineRule="auto"/>
        <w:ind w:left="851"/>
        <w:jc w:val="both"/>
        <w:rPr>
          <w:rFonts w:ascii="Bookman Old Style" w:eastAsia="Arial" w:hAnsi="Bookman Old Style" w:cs="Arial"/>
          <w:sz w:val="24"/>
          <w:szCs w:val="24"/>
        </w:rPr>
      </w:pPr>
      <w:r w:rsidRPr="00320F85">
        <w:rPr>
          <w:rFonts w:ascii="Bookman Old Style" w:eastAsia="Arial" w:hAnsi="Bookman Old Style" w:cs="Arial"/>
          <w:sz w:val="24"/>
          <w:szCs w:val="24"/>
        </w:rPr>
        <w:t>e)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8638AD4" w14:textId="468A6015" w:rsidR="00886F42" w:rsidRPr="00320F85" w:rsidRDefault="00FB77DA" w:rsidP="00C7023F">
      <w:pPr>
        <w:pBdr>
          <w:top w:val="nil"/>
          <w:left w:val="nil"/>
          <w:bottom w:val="nil"/>
          <w:right w:val="nil"/>
          <w:between w:val="nil"/>
        </w:pBdr>
        <w:spacing w:after="120" w:line="240" w:lineRule="auto"/>
        <w:ind w:left="851"/>
        <w:jc w:val="both"/>
        <w:rPr>
          <w:rFonts w:ascii="Bookman Old Style" w:eastAsia="Arial" w:hAnsi="Bookman Old Style" w:cs="Arial"/>
          <w:sz w:val="24"/>
          <w:szCs w:val="24"/>
        </w:rPr>
      </w:pPr>
      <w:proofErr w:type="spellStart"/>
      <w:r>
        <w:rPr>
          <w:rFonts w:ascii="Bookman Old Style" w:eastAsia="Arial" w:hAnsi="Bookman Old Style" w:cs="Arial"/>
          <w:sz w:val="24"/>
          <w:szCs w:val="24"/>
        </w:rPr>
        <w:t>Obs</w:t>
      </w:r>
      <w:proofErr w:type="spellEnd"/>
      <w:r>
        <w:rPr>
          <w:rFonts w:ascii="Bookman Old Style" w:eastAsia="Arial" w:hAnsi="Bookman Old Style" w:cs="Arial"/>
          <w:sz w:val="24"/>
          <w:szCs w:val="24"/>
        </w:rPr>
        <w:t xml:space="preserve">: </w:t>
      </w:r>
      <w:r w:rsidR="001A2031">
        <w:rPr>
          <w:rFonts w:ascii="Bookman Old Style" w:eastAsia="Arial" w:hAnsi="Bookman Old Style" w:cs="Arial"/>
          <w:sz w:val="24"/>
          <w:szCs w:val="24"/>
        </w:rPr>
        <w:t>e</w:t>
      </w:r>
      <w:r w:rsidR="00271680" w:rsidRPr="00271680">
        <w:rPr>
          <w:rFonts w:ascii="Bookman Old Style" w:eastAsia="Arial" w:hAnsi="Bookman Old Style" w:cs="Arial"/>
          <w:sz w:val="24"/>
          <w:szCs w:val="24"/>
        </w:rPr>
        <w:t>ste processo não contempla a exclusividade para ME/EPP, para o item 01, pois não se tem conhecimento da existência de número mínimo de fornecedores locais e regionais que possam atender o objeto, nos termos do art. 49, II, da LC 123/2006.</w:t>
      </w:r>
    </w:p>
    <w:p w14:paraId="338EC8B2" w14:textId="1A58C8BE" w:rsidR="008D1E2E" w:rsidRPr="00320F85"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p>
    <w:p w14:paraId="07B61A34" w14:textId="77777777" w:rsidR="008D1E2E" w:rsidRPr="00320F85" w:rsidRDefault="008D1E2E" w:rsidP="008D1E2E">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p>
    <w:p w14:paraId="7017DF94"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 xml:space="preserve">     ESTIMATIVAS DO VALOR DA CONTRATAÇÃO</w:t>
      </w:r>
    </w:p>
    <w:p w14:paraId="5EE934CA"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39B0552" w14:textId="32AB3501" w:rsidR="008D1E2E" w:rsidRPr="00637D81" w:rsidRDefault="008D1E2E" w:rsidP="008D1E2E">
      <w:pPr>
        <w:numPr>
          <w:ilvl w:val="1"/>
          <w:numId w:val="19"/>
        </w:numPr>
        <w:pBdr>
          <w:top w:val="nil"/>
          <w:left w:val="nil"/>
          <w:bottom w:val="nil"/>
          <w:right w:val="nil"/>
          <w:between w:val="nil"/>
        </w:pBdr>
        <w:spacing w:after="120" w:line="240" w:lineRule="auto"/>
        <w:ind w:left="529"/>
        <w:jc w:val="both"/>
        <w:rPr>
          <w:rFonts w:ascii="Bookman Old Style" w:eastAsia="Arial" w:hAnsi="Bookman Old Style" w:cs="Arial"/>
          <w:sz w:val="24"/>
          <w:szCs w:val="24"/>
        </w:rPr>
      </w:pPr>
      <w:r w:rsidRPr="00637D81">
        <w:rPr>
          <w:rFonts w:ascii="Bookman Old Style" w:eastAsia="Arial" w:hAnsi="Bookman Old Style" w:cs="Arial"/>
          <w:sz w:val="24"/>
          <w:szCs w:val="24"/>
        </w:rPr>
        <w:t>O custo estimado total da contratação é de R$</w:t>
      </w:r>
      <w:r w:rsidR="00F67C34" w:rsidRPr="00637D81">
        <w:rPr>
          <w:rFonts w:ascii="Bookman Old Style" w:eastAsia="Arial" w:hAnsi="Bookman Old Style" w:cs="Arial"/>
          <w:sz w:val="24"/>
          <w:szCs w:val="24"/>
        </w:rPr>
        <w:t>1</w:t>
      </w:r>
      <w:r w:rsidR="00506E06">
        <w:rPr>
          <w:rFonts w:ascii="Bookman Old Style" w:eastAsia="Arial" w:hAnsi="Bookman Old Style" w:cs="Arial"/>
          <w:sz w:val="24"/>
          <w:szCs w:val="24"/>
        </w:rPr>
        <w:t>0</w:t>
      </w:r>
      <w:r w:rsidR="00D30810">
        <w:rPr>
          <w:rFonts w:ascii="Bookman Old Style" w:eastAsia="Arial" w:hAnsi="Bookman Old Style" w:cs="Arial"/>
          <w:sz w:val="24"/>
          <w:szCs w:val="24"/>
        </w:rPr>
        <w:t>9</w:t>
      </w:r>
      <w:r w:rsidR="00F67C34" w:rsidRPr="00637D81">
        <w:rPr>
          <w:rFonts w:ascii="Bookman Old Style" w:eastAsia="Arial" w:hAnsi="Bookman Old Style" w:cs="Arial"/>
          <w:sz w:val="24"/>
          <w:szCs w:val="24"/>
        </w:rPr>
        <w:t>.</w:t>
      </w:r>
      <w:r w:rsidR="00D30810">
        <w:rPr>
          <w:rFonts w:ascii="Bookman Old Style" w:eastAsia="Arial" w:hAnsi="Bookman Old Style" w:cs="Arial"/>
          <w:sz w:val="24"/>
          <w:szCs w:val="24"/>
        </w:rPr>
        <w:t>325</w:t>
      </w:r>
      <w:r w:rsidR="00506E06">
        <w:rPr>
          <w:rFonts w:ascii="Bookman Old Style" w:eastAsia="Arial" w:hAnsi="Bookman Old Style" w:cs="Arial"/>
          <w:sz w:val="24"/>
          <w:szCs w:val="24"/>
        </w:rPr>
        <w:t>,</w:t>
      </w:r>
      <w:r w:rsidR="00D30810">
        <w:rPr>
          <w:rFonts w:ascii="Bookman Old Style" w:eastAsia="Arial" w:hAnsi="Bookman Old Style" w:cs="Arial"/>
          <w:sz w:val="24"/>
          <w:szCs w:val="24"/>
        </w:rPr>
        <w:t>27</w:t>
      </w:r>
      <w:r w:rsidRPr="00637D81">
        <w:rPr>
          <w:rFonts w:ascii="Bookman Old Style" w:eastAsia="Arial" w:hAnsi="Bookman Old Style" w:cs="Arial"/>
          <w:sz w:val="24"/>
          <w:szCs w:val="24"/>
        </w:rPr>
        <w:t>(</w:t>
      </w:r>
      <w:r w:rsidR="00F67C34" w:rsidRPr="00637D81">
        <w:rPr>
          <w:rFonts w:ascii="Bookman Old Style" w:eastAsia="Arial" w:hAnsi="Bookman Old Style" w:cs="Arial"/>
          <w:sz w:val="24"/>
          <w:szCs w:val="24"/>
        </w:rPr>
        <w:t xml:space="preserve">cento e </w:t>
      </w:r>
      <w:r w:rsidR="00D30810">
        <w:rPr>
          <w:rFonts w:ascii="Bookman Old Style" w:eastAsia="Arial" w:hAnsi="Bookman Old Style" w:cs="Arial"/>
          <w:sz w:val="24"/>
          <w:szCs w:val="24"/>
        </w:rPr>
        <w:t>nove</w:t>
      </w:r>
      <w:r w:rsidR="00F67C34" w:rsidRPr="00637D81">
        <w:rPr>
          <w:rFonts w:ascii="Bookman Old Style" w:eastAsia="Arial" w:hAnsi="Bookman Old Style" w:cs="Arial"/>
          <w:sz w:val="24"/>
          <w:szCs w:val="24"/>
        </w:rPr>
        <w:t xml:space="preserve"> mil, </w:t>
      </w:r>
      <w:r w:rsidR="00D30810">
        <w:rPr>
          <w:rFonts w:ascii="Bookman Old Style" w:eastAsia="Arial" w:hAnsi="Bookman Old Style" w:cs="Arial"/>
          <w:sz w:val="24"/>
          <w:szCs w:val="24"/>
        </w:rPr>
        <w:t>trezentos e vinte e cinco</w:t>
      </w:r>
      <w:r w:rsidR="00506E06">
        <w:rPr>
          <w:rFonts w:ascii="Bookman Old Style" w:eastAsia="Arial" w:hAnsi="Bookman Old Style" w:cs="Arial"/>
          <w:sz w:val="24"/>
          <w:szCs w:val="24"/>
        </w:rPr>
        <w:t xml:space="preserve"> reais e </w:t>
      </w:r>
      <w:r w:rsidR="00D30810">
        <w:rPr>
          <w:rFonts w:ascii="Bookman Old Style" w:eastAsia="Arial" w:hAnsi="Bookman Old Style" w:cs="Arial"/>
          <w:sz w:val="24"/>
          <w:szCs w:val="24"/>
        </w:rPr>
        <w:t>vinte e sete</w:t>
      </w:r>
      <w:r w:rsidR="00506E06">
        <w:rPr>
          <w:rFonts w:ascii="Bookman Old Style" w:eastAsia="Arial" w:hAnsi="Bookman Old Style" w:cs="Arial"/>
          <w:sz w:val="24"/>
          <w:szCs w:val="24"/>
        </w:rPr>
        <w:t xml:space="preserve"> centavos</w:t>
      </w:r>
      <w:r w:rsidRPr="00637D81">
        <w:rPr>
          <w:rFonts w:ascii="Bookman Old Style" w:eastAsia="Arial" w:hAnsi="Bookman Old Style" w:cs="Arial"/>
          <w:sz w:val="24"/>
          <w:szCs w:val="24"/>
        </w:rPr>
        <w:t>), conforme custos unitários dispostos na em anexo.</w:t>
      </w:r>
    </w:p>
    <w:p w14:paraId="1DBC7464" w14:textId="3E78D5BF" w:rsidR="008D1E2E" w:rsidRDefault="008D1E2E" w:rsidP="00320F85">
      <w:pPr>
        <w:pBdr>
          <w:top w:val="nil"/>
          <w:left w:val="nil"/>
          <w:bottom w:val="nil"/>
          <w:right w:val="nil"/>
          <w:between w:val="nil"/>
        </w:pBdr>
        <w:spacing w:after="120" w:line="240" w:lineRule="auto"/>
        <w:ind w:left="170"/>
        <w:jc w:val="both"/>
        <w:rPr>
          <w:rFonts w:ascii="Bookman Old Style" w:eastAsia="Arial" w:hAnsi="Bookman Old Style" w:cs="Arial"/>
          <w:i/>
          <w:color w:val="FF0000"/>
          <w:sz w:val="24"/>
          <w:szCs w:val="24"/>
        </w:rPr>
      </w:pPr>
      <w:r w:rsidRPr="008A5529">
        <w:rPr>
          <w:rFonts w:ascii="Bookman Old Style" w:hAnsi="Bookman Old Style"/>
          <w:sz w:val="24"/>
          <w:szCs w:val="24"/>
        </w:rPr>
        <w:t xml:space="preserve">    </w:t>
      </w:r>
    </w:p>
    <w:p w14:paraId="61C9DA79" w14:textId="77777777" w:rsidR="008D1E2E" w:rsidRPr="008A5529" w:rsidRDefault="008D1E2E" w:rsidP="008D1E2E">
      <w:pPr>
        <w:pBdr>
          <w:top w:val="nil"/>
          <w:left w:val="nil"/>
          <w:bottom w:val="nil"/>
          <w:right w:val="nil"/>
          <w:between w:val="nil"/>
        </w:pBdr>
        <w:spacing w:after="120" w:line="240" w:lineRule="auto"/>
        <w:ind w:left="1060"/>
        <w:jc w:val="both"/>
        <w:rPr>
          <w:rFonts w:ascii="Bookman Old Style" w:eastAsia="Arial" w:hAnsi="Bookman Old Style" w:cs="Arial"/>
          <w:i/>
          <w:color w:val="FF0000"/>
          <w:sz w:val="24"/>
          <w:szCs w:val="24"/>
        </w:rPr>
      </w:pPr>
    </w:p>
    <w:p w14:paraId="17CF2C00"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lastRenderedPageBreak/>
        <w:t>ADEQUAÇÃO ORÇAMENTÁRIA</w:t>
      </w:r>
    </w:p>
    <w:p w14:paraId="01D7BFE4"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CE930AB" w14:textId="31113375" w:rsidR="008D1E2E" w:rsidRPr="008A5529" w:rsidRDefault="008D1E2E" w:rsidP="008D1E2E">
      <w:pPr>
        <w:numPr>
          <w:ilvl w:val="1"/>
          <w:numId w:val="20"/>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8A5529">
        <w:rPr>
          <w:rFonts w:ascii="Bookman Old Style" w:eastAsia="Arial" w:hAnsi="Bookman Old Style" w:cs="Arial"/>
          <w:sz w:val="24"/>
          <w:szCs w:val="24"/>
        </w:rPr>
        <w:t xml:space="preserve">do órgão </w:t>
      </w:r>
      <w:r w:rsidR="0002672A" w:rsidRPr="0002672A">
        <w:rPr>
          <w:rFonts w:ascii="Bookman Old Style" w:eastAsia="Arial" w:hAnsi="Bookman Old Style" w:cs="Arial"/>
          <w:sz w:val="24"/>
          <w:szCs w:val="24"/>
        </w:rPr>
        <w:t>público.</w:t>
      </w:r>
    </w:p>
    <w:p w14:paraId="28FCFBB9" w14:textId="77777777" w:rsidR="008D1E2E" w:rsidRPr="008A5529" w:rsidRDefault="008D1E2E" w:rsidP="008D1E2E">
      <w:pPr>
        <w:numPr>
          <w:ilvl w:val="1"/>
          <w:numId w:val="2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 contratação será atendida pela seguinte dotação:</w:t>
      </w:r>
    </w:p>
    <w:p w14:paraId="0C51AC65" w14:textId="30008248" w:rsidR="008D1E2E" w:rsidRPr="0002672A" w:rsidRDefault="0002672A" w:rsidP="0002672A">
      <w:pPr>
        <w:pStyle w:val="PargrafodaLista"/>
        <w:numPr>
          <w:ilvl w:val="0"/>
          <w:numId w:val="2"/>
        </w:numPr>
        <w:spacing w:after="120" w:line="240" w:lineRule="auto"/>
        <w:ind w:left="426" w:hanging="142"/>
        <w:jc w:val="both"/>
        <w:rPr>
          <w:rFonts w:ascii="Bookman Old Style" w:eastAsia="Arial" w:hAnsi="Bookman Old Style" w:cs="Arial"/>
          <w:color w:val="000000" w:themeColor="text1"/>
          <w:sz w:val="24"/>
          <w:szCs w:val="24"/>
        </w:rPr>
      </w:pPr>
      <w:r w:rsidRPr="0002672A">
        <w:rPr>
          <w:rFonts w:ascii="Bookman Old Style" w:eastAsia="Arial" w:hAnsi="Bookman Old Style" w:cs="Arial"/>
          <w:color w:val="000000"/>
          <w:sz w:val="24"/>
          <w:szCs w:val="24"/>
        </w:rPr>
        <w:t xml:space="preserve">Gestão/Unidade: </w:t>
      </w:r>
      <w:r w:rsidRPr="0002672A">
        <w:rPr>
          <w:rFonts w:ascii="Bookman Old Style" w:eastAsia="Arial" w:hAnsi="Bookman Old Style" w:cs="Arial"/>
          <w:color w:val="000000" w:themeColor="text1"/>
          <w:sz w:val="24"/>
          <w:szCs w:val="24"/>
        </w:rPr>
        <w:t>[06.00 Secretaria de Cultura, Esportes e Turismo];</w:t>
      </w:r>
    </w:p>
    <w:p w14:paraId="344F5D68" w14:textId="70E71B2A" w:rsidR="008D1E2E" w:rsidRPr="00C905C1" w:rsidRDefault="008D1E2E" w:rsidP="008D1E2E">
      <w:pPr>
        <w:numPr>
          <w:ilvl w:val="0"/>
          <w:numId w:val="2"/>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C905C1">
        <w:rPr>
          <w:rFonts w:ascii="Bookman Old Style" w:eastAsia="Arial" w:hAnsi="Bookman Old Style" w:cs="Arial"/>
          <w:sz w:val="24"/>
          <w:szCs w:val="24"/>
        </w:rPr>
        <w:t>Fonte de Recursos: [</w:t>
      </w:r>
      <w:r w:rsidR="00C905C1" w:rsidRPr="00C905C1">
        <w:rPr>
          <w:rFonts w:ascii="Bookman Old Style" w:eastAsia="Arial" w:hAnsi="Bookman Old Style" w:cs="Arial"/>
          <w:sz w:val="24"/>
          <w:szCs w:val="24"/>
        </w:rPr>
        <w:t>1.710.3210.0005 – Transferências especiais dos estados emendas</w:t>
      </w:r>
      <w:r w:rsidRPr="00C905C1">
        <w:rPr>
          <w:rFonts w:ascii="Bookman Old Style" w:eastAsia="Arial" w:hAnsi="Bookman Old Style" w:cs="Arial"/>
          <w:sz w:val="24"/>
          <w:szCs w:val="24"/>
        </w:rPr>
        <w:t>];</w:t>
      </w:r>
    </w:p>
    <w:p w14:paraId="63BF39E4" w14:textId="3C3546DD" w:rsidR="008D1E2E" w:rsidRPr="00C905C1" w:rsidRDefault="008D1E2E" w:rsidP="008D1E2E">
      <w:pPr>
        <w:numPr>
          <w:ilvl w:val="0"/>
          <w:numId w:val="2"/>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C905C1">
        <w:rPr>
          <w:rFonts w:ascii="Bookman Old Style" w:eastAsia="Arial" w:hAnsi="Bookman Old Style" w:cs="Arial"/>
          <w:sz w:val="24"/>
          <w:szCs w:val="24"/>
        </w:rPr>
        <w:t>Programa de Trabalho: [</w:t>
      </w:r>
      <w:r w:rsidR="00C905C1" w:rsidRPr="00C905C1">
        <w:rPr>
          <w:rFonts w:ascii="Bookman Old Style" w:eastAsia="Arial" w:hAnsi="Bookman Old Style" w:cs="Arial"/>
          <w:sz w:val="24"/>
          <w:szCs w:val="24"/>
        </w:rPr>
        <w:t>2507 – Arte, Cultura e Turismo</w:t>
      </w:r>
      <w:r w:rsidRPr="00C905C1">
        <w:rPr>
          <w:rFonts w:ascii="Bookman Old Style" w:eastAsia="Arial" w:hAnsi="Bookman Old Style" w:cs="Arial"/>
          <w:sz w:val="24"/>
          <w:szCs w:val="24"/>
        </w:rPr>
        <w:t>];</w:t>
      </w:r>
    </w:p>
    <w:p w14:paraId="3A1CDB3C" w14:textId="211FC167" w:rsidR="008D1E2E" w:rsidRPr="00C905C1" w:rsidRDefault="008D1E2E" w:rsidP="008D1E2E">
      <w:pPr>
        <w:numPr>
          <w:ilvl w:val="0"/>
          <w:numId w:val="2"/>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C905C1">
        <w:rPr>
          <w:rFonts w:ascii="Bookman Old Style" w:eastAsia="Arial" w:hAnsi="Bookman Old Style" w:cs="Arial"/>
          <w:sz w:val="24"/>
          <w:szCs w:val="24"/>
        </w:rPr>
        <w:t>Elemento de Despesa: [</w:t>
      </w:r>
      <w:r w:rsidR="00637D81" w:rsidRPr="00C905C1">
        <w:rPr>
          <w:rFonts w:ascii="Bookman Old Style" w:eastAsia="Arial" w:hAnsi="Bookman Old Style" w:cs="Arial"/>
          <w:sz w:val="24"/>
          <w:szCs w:val="24"/>
        </w:rPr>
        <w:t>4.4.90.00.00.00.00.00 – Aplicações diretas</w:t>
      </w:r>
      <w:r w:rsidRPr="00C905C1">
        <w:rPr>
          <w:rFonts w:ascii="Bookman Old Style" w:eastAsia="Arial" w:hAnsi="Bookman Old Style" w:cs="Arial"/>
          <w:sz w:val="24"/>
          <w:szCs w:val="24"/>
        </w:rPr>
        <w:t>];</w:t>
      </w:r>
    </w:p>
    <w:p w14:paraId="00136CDC" w14:textId="4C0689EC" w:rsidR="008D1E2E" w:rsidRPr="00C905C1" w:rsidRDefault="008D1E2E" w:rsidP="008D1E2E">
      <w:pPr>
        <w:numPr>
          <w:ilvl w:val="0"/>
          <w:numId w:val="2"/>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C905C1">
        <w:rPr>
          <w:rFonts w:ascii="Bookman Old Style" w:eastAsia="Arial" w:hAnsi="Bookman Old Style" w:cs="Arial"/>
          <w:sz w:val="24"/>
          <w:szCs w:val="24"/>
        </w:rPr>
        <w:t>Código Reduzido: [</w:t>
      </w:r>
      <w:r w:rsidR="00C905C1" w:rsidRPr="00C905C1">
        <w:rPr>
          <w:rFonts w:ascii="Bookman Old Style" w:eastAsia="Arial" w:hAnsi="Bookman Old Style" w:cs="Arial"/>
          <w:sz w:val="24"/>
          <w:szCs w:val="24"/>
        </w:rPr>
        <w:t>52</w:t>
      </w:r>
      <w:r w:rsidRPr="00C905C1">
        <w:rPr>
          <w:rFonts w:ascii="Bookman Old Style" w:eastAsia="Arial" w:hAnsi="Bookman Old Style" w:cs="Arial"/>
          <w:sz w:val="24"/>
          <w:szCs w:val="24"/>
        </w:rPr>
        <w:t>];</w:t>
      </w:r>
    </w:p>
    <w:p w14:paraId="3B47CEC8" w14:textId="77777777" w:rsidR="008D1E2E" w:rsidRPr="008A5529" w:rsidRDefault="008D1E2E" w:rsidP="008D1E2E">
      <w:pPr>
        <w:pBdr>
          <w:top w:val="nil"/>
          <w:left w:val="nil"/>
          <w:bottom w:val="nil"/>
          <w:right w:val="nil"/>
          <w:between w:val="nil"/>
        </w:pBdr>
        <w:spacing w:after="120" w:line="240" w:lineRule="auto"/>
        <w:ind w:left="170"/>
        <w:jc w:val="both"/>
        <w:rPr>
          <w:rFonts w:ascii="Bookman Old Style" w:eastAsia="Arial" w:hAnsi="Bookman Old Style" w:cs="Arial"/>
          <w:i/>
          <w:color w:val="FF0000"/>
          <w:sz w:val="24"/>
          <w:szCs w:val="24"/>
        </w:rPr>
      </w:pPr>
    </w:p>
    <w:p w14:paraId="4CD4A345"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sz w:val="24"/>
          <w:szCs w:val="24"/>
        </w:rPr>
        <w:t>RESPONSABILIDADES</w:t>
      </w:r>
      <w:r w:rsidRPr="008A5529">
        <w:rPr>
          <w:rFonts w:ascii="Bookman Old Style" w:eastAsia="Arial" w:hAnsi="Bookman Old Style" w:cs="Arial"/>
          <w:b/>
          <w:color w:val="000000"/>
          <w:sz w:val="24"/>
          <w:szCs w:val="24"/>
        </w:rPr>
        <w:t xml:space="preserve"> DO CONTRATADO</w:t>
      </w:r>
    </w:p>
    <w:p w14:paraId="148862D0"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F4389BF" w14:textId="77777777" w:rsidR="008D1E2E" w:rsidRPr="008A5529" w:rsidRDefault="008D1E2E" w:rsidP="008D1E2E">
      <w:pPr>
        <w:numPr>
          <w:ilvl w:val="1"/>
          <w:numId w:val="22"/>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71F73557"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33C64603"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Comunicar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no prazo máximo de 24 (vinte e quatro) horas que antecede a data da entrega, os motivos que impossibilitem o cumprimento do prazo previsto, com a devida comprovação;</w:t>
      </w:r>
    </w:p>
    <w:p w14:paraId="5878C139"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2B998345"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B4DC68F"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que ficará autorizado a descontar dos pagamentos devidos ou da garantia, caso exigida, o valor correspondente aos danos sofridos;</w:t>
      </w:r>
    </w:p>
    <w:p w14:paraId="31C72348"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Quando não for possível a verificação da regularidade no Sistema de Cadastro de Fornecedores – SICAF,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3FA15800" w14:textId="77777777" w:rsidR="008D1E2E" w:rsidRPr="008A5529" w:rsidRDefault="008D1E2E" w:rsidP="008D1E2E">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1) Prova de regularidade relativa à Seguridade Social; </w:t>
      </w:r>
    </w:p>
    <w:p w14:paraId="2BB9BF7C" w14:textId="77777777" w:rsidR="008D1E2E" w:rsidRPr="008A5529" w:rsidRDefault="008D1E2E" w:rsidP="008D1E2E">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 xml:space="preserve">2) Certidão conjunta relativa aos tributos federais e à Dívida Ativa da União; </w:t>
      </w:r>
    </w:p>
    <w:p w14:paraId="0FF3B677" w14:textId="77777777" w:rsidR="008D1E2E" w:rsidRPr="008A5529" w:rsidRDefault="008D1E2E" w:rsidP="008D1E2E">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3) Certidões que comprovem a regularidade perante a Fazenda Estadual ou Distrital do domicílio ou sede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w:t>
      </w:r>
    </w:p>
    <w:p w14:paraId="13ABB279" w14:textId="77777777" w:rsidR="008D1E2E" w:rsidRPr="008A5529" w:rsidRDefault="008D1E2E" w:rsidP="008D1E2E">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4) Certidão de Regularidade do FGTS – CRF; e </w:t>
      </w:r>
    </w:p>
    <w:p w14:paraId="3CEA8B1F" w14:textId="77777777" w:rsidR="008D1E2E" w:rsidRPr="008A5529" w:rsidRDefault="008D1E2E" w:rsidP="008D1E2E">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5) Certidão Negativa de Débitos Trabalhistas – CNDT.</w:t>
      </w:r>
    </w:p>
    <w:p w14:paraId="0CE802D3"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e não poderá onerar o objeto do contrato;</w:t>
      </w:r>
    </w:p>
    <w:p w14:paraId="3BC114F8"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Comunicar ao Fiscal do contrato, no prazo de 24 (vinte e quatro) horas, qualquer ocorrência anormal ou acidente que se verifique no local da execução do objeto contratual;</w:t>
      </w:r>
    </w:p>
    <w:p w14:paraId="794E5066"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Paralisar, por determinação do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qualquer atividade que não esteja sendo executada de acordo com a boa técnica ou que ponha em risco a segurança de pessoas ou bens de terceiros;</w:t>
      </w:r>
    </w:p>
    <w:p w14:paraId="4C6F3EE2"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62CC383F"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4F96A20D"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60D3AC68"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Guardar sigilo sobre todas as informações obtidas em decorrência do cumprimento do contrato; </w:t>
      </w:r>
    </w:p>
    <w:p w14:paraId="3389E9E6" w14:textId="77777777" w:rsidR="008D1E2E" w:rsidRPr="008A5529"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4CDEE768" w14:textId="77777777" w:rsidR="008D1E2E" w:rsidRDefault="008D1E2E" w:rsidP="008D1E2E">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w:t>
      </w:r>
    </w:p>
    <w:p w14:paraId="1E606C3B" w14:textId="77777777" w:rsidR="008D1E2E" w:rsidRPr="008A5529" w:rsidRDefault="008D1E2E" w:rsidP="008D1E2E">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7424D90A"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lastRenderedPageBreak/>
        <w:t>RESPONSABILIDADES DO CONTRATANTE</w:t>
      </w:r>
    </w:p>
    <w:p w14:paraId="44A74B05"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0F5D85B" w14:textId="77777777" w:rsidR="008D1E2E" w:rsidRPr="008A5529" w:rsidRDefault="008D1E2E" w:rsidP="008D1E2E">
      <w:pPr>
        <w:numPr>
          <w:ilvl w:val="1"/>
          <w:numId w:val="23"/>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São obrigações do CONTRATANTE, exigir o cumprimento de todas as obrigações assumidas pelo CONTRATADO;</w:t>
      </w:r>
    </w:p>
    <w:p w14:paraId="5279F738"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Receber o objeto no prazo e condições estabelecidas neste Termo de Referência;</w:t>
      </w:r>
    </w:p>
    <w:p w14:paraId="2C0E0938"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Notificar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31847612"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Acompanhar e fiscalizar a execução do contrato e o cumprimento das obrigações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w:t>
      </w:r>
    </w:p>
    <w:p w14:paraId="41B26A61"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74A7DCE8"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Efetuar o pagamento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do valor correspondente à execução do objeto, no prazo, forma e condições estabelecidos no presente Contrato e no Termo de Referência;</w:t>
      </w:r>
    </w:p>
    <w:p w14:paraId="66D2B008"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Aplicar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as sanções previstas na lei; </w:t>
      </w:r>
    </w:p>
    <w:p w14:paraId="3BB81792"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Cientificar o órgão de representação da Controladoria Geral do Município para adoção das medidas cabíveis quando do descumprimento de obrigações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w:t>
      </w:r>
    </w:p>
    <w:p w14:paraId="206D0EC3" w14:textId="77777777" w:rsidR="008D1E2E" w:rsidRPr="008A5529"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12DC16B3" w14:textId="77777777" w:rsidR="008D1E2E" w:rsidRDefault="008D1E2E" w:rsidP="008D1E2E">
      <w:pPr>
        <w:numPr>
          <w:ilvl w:val="1"/>
          <w:numId w:val="23"/>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Administração não responderá por quaisquer compromissos assumidos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de seus empregados, prepostos ou subordinados.</w:t>
      </w:r>
    </w:p>
    <w:p w14:paraId="205F8BEC" w14:textId="77777777" w:rsidR="008D1E2E" w:rsidRPr="008A5529" w:rsidRDefault="008D1E2E" w:rsidP="008D1E2E">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0C87ADBC" w14:textId="77777777" w:rsidR="008D1E2E" w:rsidRDefault="008D1E2E" w:rsidP="008D1E2E">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INFRAÇÕES E SANÇÕES ADMIN</w:t>
      </w:r>
      <w:r w:rsidRPr="008A5529">
        <w:rPr>
          <w:rFonts w:ascii="Bookman Old Style" w:eastAsia="Arial" w:hAnsi="Bookman Old Style" w:cs="Arial"/>
          <w:b/>
          <w:sz w:val="24"/>
          <w:szCs w:val="24"/>
        </w:rPr>
        <w:t>I</w:t>
      </w:r>
      <w:r w:rsidRPr="008A5529">
        <w:rPr>
          <w:rFonts w:ascii="Bookman Old Style" w:eastAsia="Arial" w:hAnsi="Bookman Old Style" w:cs="Arial"/>
          <w:b/>
          <w:color w:val="000000"/>
          <w:sz w:val="24"/>
          <w:szCs w:val="24"/>
        </w:rPr>
        <w:t>STRATIVAS</w:t>
      </w:r>
    </w:p>
    <w:p w14:paraId="4C20C656"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0659E32" w14:textId="77777777" w:rsidR="008D1E2E" w:rsidRPr="008A5529" w:rsidRDefault="008D1E2E" w:rsidP="008D1E2E">
      <w:pPr>
        <w:numPr>
          <w:ilvl w:val="1"/>
          <w:numId w:val="25"/>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Comete infração administrativa, nos termos da Lei n.º 14.133/2021,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que:</w:t>
      </w:r>
    </w:p>
    <w:p w14:paraId="7572AC8B"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Der causa à inexecução parcial do contrato;</w:t>
      </w:r>
    </w:p>
    <w:p w14:paraId="4B523C2B"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2CDB1836"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Der causa à inexecução total do contrato;</w:t>
      </w:r>
    </w:p>
    <w:p w14:paraId="6C3C9A3E"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lastRenderedPageBreak/>
        <w:t>Ensejar o retardamento da execução ou da entrega do objeto da contratação sem motivo justificado;</w:t>
      </w:r>
    </w:p>
    <w:p w14:paraId="6BF6396D"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Apresentar documentação falsa ou prestar declaração falsa durante a execução do contrato;</w:t>
      </w:r>
    </w:p>
    <w:p w14:paraId="60060301"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Praticar ato fraudulento na execução do contrato;</w:t>
      </w:r>
    </w:p>
    <w:p w14:paraId="61AE39AB"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Comportar-se de modo inidôneo ou cometer fraude de qualquer natureza;</w:t>
      </w:r>
    </w:p>
    <w:p w14:paraId="73E73C12" w14:textId="77777777" w:rsidR="008D1E2E" w:rsidRPr="008A5529" w:rsidRDefault="008D1E2E" w:rsidP="008D1E2E">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Praticar ato lesivo previsto no art. 5º da Lei n.º 12.846, de 1º de agosto de 2013.</w:t>
      </w:r>
    </w:p>
    <w:p w14:paraId="08F86E69"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Serão aplicadas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que incorrer nas infrações acima descritas as seguintes sanções:</w:t>
      </w:r>
    </w:p>
    <w:p w14:paraId="3DB06CF7" w14:textId="77777777" w:rsidR="008D1E2E" w:rsidRPr="008A5529" w:rsidRDefault="008D1E2E" w:rsidP="008D1E2E">
      <w:pPr>
        <w:numPr>
          <w:ilvl w:val="0"/>
          <w:numId w:val="28"/>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Advertência</w:t>
      </w:r>
      <w:r w:rsidRPr="008A5529">
        <w:rPr>
          <w:rFonts w:ascii="Bookman Old Style" w:eastAsia="Arial" w:hAnsi="Bookman Old Style" w:cs="Arial"/>
          <w:color w:val="000000"/>
          <w:sz w:val="24"/>
          <w:szCs w:val="24"/>
        </w:rPr>
        <w:t xml:space="preserve">, quando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der causa à inexecução parcial do contrato, sempre que não se justificar a imposição de penalidade mais grave (Art. 156, §2º, da Lei n.º 14.133/2021);</w:t>
      </w:r>
    </w:p>
    <w:p w14:paraId="345109C3" w14:textId="77777777" w:rsidR="008D1E2E" w:rsidRPr="008A5529" w:rsidRDefault="008D1E2E" w:rsidP="008D1E2E">
      <w:pPr>
        <w:numPr>
          <w:ilvl w:val="0"/>
          <w:numId w:val="28"/>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Impedimento de licitar e contratar</w:t>
      </w:r>
      <w:r w:rsidRPr="008A5529">
        <w:rPr>
          <w:rFonts w:ascii="Bookman Old Style" w:eastAsia="Arial" w:hAnsi="Bookman Old Style" w:cs="Arial"/>
          <w:color w:val="000000"/>
          <w:sz w:val="24"/>
          <w:szCs w:val="24"/>
        </w:rPr>
        <w:t>, quando praticadas as condutas descritas nas alíneas “b”, “c” e “d” do subitem acima deste contrato, sempre que não se justificar a imposição de penalidade mais grave (Art. 156, § 4º, da Lei n.º 14.133/2021);</w:t>
      </w:r>
    </w:p>
    <w:p w14:paraId="23F04300" w14:textId="77777777" w:rsidR="008D1E2E" w:rsidRPr="008A5529" w:rsidRDefault="008D1E2E" w:rsidP="008D1E2E">
      <w:pPr>
        <w:numPr>
          <w:ilvl w:val="0"/>
          <w:numId w:val="28"/>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Declaração de inidoneidade para licitar e contratar</w:t>
      </w:r>
      <w:r w:rsidRPr="008A5529">
        <w:rPr>
          <w:rFonts w:ascii="Bookman Old Style" w:eastAsia="Arial" w:hAnsi="Bookman Old Style" w:cs="Arial"/>
          <w:color w:val="000000"/>
          <w:sz w:val="24"/>
          <w:szCs w:val="24"/>
        </w:rPr>
        <w:t>, quando praticadas as condutas descritas nas alíneas “e”, “f”, “g” e “h” do subitem acima deste contrato, bem como nas alíneas “b”, “c” e “d”, que justifiquem a imposição de penalidade mais grave (Art. 156, §5º, da Lei n.º 14.133/2021).</w:t>
      </w:r>
    </w:p>
    <w:p w14:paraId="53472393" w14:textId="77777777" w:rsidR="008D1E2E" w:rsidRPr="008A5529" w:rsidRDefault="008D1E2E" w:rsidP="008D1E2E">
      <w:pPr>
        <w:numPr>
          <w:ilvl w:val="0"/>
          <w:numId w:val="28"/>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Multa:</w:t>
      </w:r>
    </w:p>
    <w:p w14:paraId="6B2CB0AA" w14:textId="312F5677" w:rsidR="008D1E2E" w:rsidRPr="008A5529" w:rsidRDefault="008D1E2E" w:rsidP="008D1E2E">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color w:val="000000"/>
          <w:sz w:val="24"/>
          <w:szCs w:val="24"/>
        </w:rPr>
      </w:pPr>
      <w:r w:rsidRPr="008A5529">
        <w:rPr>
          <w:rFonts w:ascii="Bookman Old Style" w:hAnsi="Bookman Old Style"/>
          <w:sz w:val="24"/>
          <w:szCs w:val="24"/>
        </w:rPr>
        <w:t xml:space="preserve">     </w:t>
      </w:r>
      <w:r w:rsidRPr="008A5529">
        <w:rPr>
          <w:rFonts w:ascii="Bookman Old Style" w:eastAsia="Arial" w:hAnsi="Bookman Old Style" w:cs="Arial"/>
          <w:color w:val="000000"/>
          <w:sz w:val="24"/>
          <w:szCs w:val="24"/>
        </w:rPr>
        <w:t xml:space="preserve">Moratória de </w:t>
      </w:r>
      <w:r w:rsidR="00880F56">
        <w:rPr>
          <w:rFonts w:ascii="Bookman Old Style" w:eastAsia="Arial" w:hAnsi="Bookman Old Style" w:cs="Arial"/>
          <w:color w:val="000000"/>
          <w:sz w:val="24"/>
          <w:szCs w:val="24"/>
        </w:rPr>
        <w:t>1</w:t>
      </w:r>
      <w:r w:rsidRPr="008A5529">
        <w:rPr>
          <w:rFonts w:ascii="Bookman Old Style" w:eastAsia="Arial" w:hAnsi="Bookman Old Style" w:cs="Arial"/>
          <w:color w:val="000000"/>
          <w:sz w:val="24"/>
          <w:szCs w:val="24"/>
        </w:rPr>
        <w:t>% (</w:t>
      </w:r>
      <w:r w:rsidR="00880F56">
        <w:rPr>
          <w:rFonts w:ascii="Bookman Old Style" w:eastAsia="Arial" w:hAnsi="Bookman Old Style" w:cs="Arial"/>
          <w:color w:val="000000"/>
          <w:sz w:val="24"/>
          <w:szCs w:val="24"/>
        </w:rPr>
        <w:t>um</w:t>
      </w:r>
      <w:r w:rsidRPr="008A5529">
        <w:rPr>
          <w:rFonts w:ascii="Bookman Old Style" w:eastAsia="Arial" w:hAnsi="Bookman Old Style" w:cs="Arial"/>
          <w:color w:val="000000"/>
          <w:sz w:val="24"/>
          <w:szCs w:val="24"/>
        </w:rPr>
        <w:t xml:space="preserve"> por cento) por dia de atraso injustificado sobre o valor da parcela inadimplida, até o limite de </w:t>
      </w:r>
      <w:r w:rsidR="00880F56" w:rsidRPr="00880F56">
        <w:rPr>
          <w:rFonts w:ascii="Bookman Old Style" w:eastAsia="Arial" w:hAnsi="Bookman Old Style" w:cs="Arial"/>
          <w:sz w:val="24"/>
          <w:szCs w:val="24"/>
        </w:rPr>
        <w:t>30</w:t>
      </w:r>
      <w:r w:rsidRPr="00880F56">
        <w:rPr>
          <w:rFonts w:ascii="Bookman Old Style" w:eastAsia="Arial" w:hAnsi="Bookman Old Style" w:cs="Arial"/>
          <w:sz w:val="24"/>
          <w:szCs w:val="24"/>
        </w:rPr>
        <w:t xml:space="preserve"> </w:t>
      </w:r>
      <w:r w:rsidR="00880F56" w:rsidRPr="00880F56">
        <w:rPr>
          <w:rFonts w:ascii="Bookman Old Style" w:eastAsia="Arial" w:hAnsi="Bookman Old Style" w:cs="Arial"/>
          <w:sz w:val="24"/>
          <w:szCs w:val="24"/>
        </w:rPr>
        <w:t>(trinta)</w:t>
      </w:r>
      <w:r w:rsidRPr="00880F56">
        <w:rPr>
          <w:rFonts w:ascii="Bookman Old Style" w:eastAsia="Arial" w:hAnsi="Bookman Old Style" w:cs="Arial"/>
          <w:sz w:val="24"/>
          <w:szCs w:val="24"/>
        </w:rPr>
        <w:t xml:space="preserve"> dias</w:t>
      </w:r>
      <w:r w:rsidRPr="008A5529">
        <w:rPr>
          <w:rFonts w:ascii="Bookman Old Style" w:eastAsia="Arial" w:hAnsi="Bookman Old Style" w:cs="Arial"/>
          <w:color w:val="000000"/>
          <w:sz w:val="24"/>
          <w:szCs w:val="24"/>
        </w:rPr>
        <w:t>;</w:t>
      </w:r>
    </w:p>
    <w:p w14:paraId="222AB3E9" w14:textId="7EC0EEBA" w:rsidR="008D1E2E" w:rsidRPr="00880F56" w:rsidRDefault="008D1E2E" w:rsidP="008D1E2E">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i/>
          <w:sz w:val="24"/>
          <w:szCs w:val="24"/>
        </w:rPr>
      </w:pPr>
      <w:r w:rsidRPr="00880F56">
        <w:rPr>
          <w:rFonts w:ascii="Bookman Old Style" w:eastAsia="Arial" w:hAnsi="Bookman Old Style" w:cs="Arial"/>
          <w:i/>
          <w:sz w:val="24"/>
          <w:szCs w:val="24"/>
        </w:rPr>
        <w:t xml:space="preserve">O atraso superior a </w:t>
      </w:r>
      <w:r w:rsidR="00880F56" w:rsidRPr="00880F56">
        <w:rPr>
          <w:rFonts w:ascii="Bookman Old Style" w:eastAsia="Arial" w:hAnsi="Bookman Old Style" w:cs="Arial"/>
          <w:i/>
          <w:sz w:val="24"/>
          <w:szCs w:val="24"/>
        </w:rPr>
        <w:t xml:space="preserve">30 </w:t>
      </w:r>
      <w:r w:rsidRPr="00880F56">
        <w:rPr>
          <w:rFonts w:ascii="Bookman Old Style" w:eastAsia="Arial" w:hAnsi="Bookman Old Style" w:cs="Arial"/>
          <w:i/>
          <w:sz w:val="24"/>
          <w:szCs w:val="24"/>
        </w:rPr>
        <w:t xml:space="preserve">dias autoriza a Administração a promover a extinção do contrato por descumprimento ou cumprimento irregular de suas cláusulas, conforme dispõe o inciso I do art. 137 da Lei n.º 14.133/2021. </w:t>
      </w:r>
    </w:p>
    <w:p w14:paraId="5B44C6E9" w14:textId="54767F56" w:rsidR="008D1E2E" w:rsidRPr="008A5529" w:rsidRDefault="008D1E2E" w:rsidP="008D1E2E">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Compensatória de </w:t>
      </w:r>
      <w:r w:rsidR="00880F56">
        <w:rPr>
          <w:rFonts w:ascii="Bookman Old Style" w:eastAsia="Arial" w:hAnsi="Bookman Old Style" w:cs="Arial"/>
          <w:color w:val="000000"/>
          <w:sz w:val="24"/>
          <w:szCs w:val="24"/>
        </w:rPr>
        <w:t>20</w:t>
      </w:r>
      <w:r w:rsidRPr="008A5529">
        <w:rPr>
          <w:rFonts w:ascii="Bookman Old Style" w:eastAsia="Arial" w:hAnsi="Bookman Old Style" w:cs="Arial"/>
          <w:color w:val="000000"/>
          <w:sz w:val="24"/>
          <w:szCs w:val="24"/>
        </w:rPr>
        <w:t>% (</w:t>
      </w:r>
      <w:r w:rsidR="00880F56">
        <w:rPr>
          <w:rFonts w:ascii="Bookman Old Style" w:eastAsia="Arial" w:hAnsi="Bookman Old Style" w:cs="Arial"/>
          <w:color w:val="000000"/>
          <w:sz w:val="24"/>
          <w:szCs w:val="24"/>
        </w:rPr>
        <w:t>vinte</w:t>
      </w:r>
      <w:r w:rsidRPr="008A5529">
        <w:rPr>
          <w:rFonts w:ascii="Bookman Old Style" w:eastAsia="Arial" w:hAnsi="Bookman Old Style" w:cs="Arial"/>
          <w:color w:val="000000"/>
          <w:sz w:val="24"/>
          <w:szCs w:val="24"/>
        </w:rPr>
        <w:t xml:space="preserve"> por cento) sobre o valor total do contrato, no caso de inexecução total do objeto.</w:t>
      </w:r>
    </w:p>
    <w:p w14:paraId="788FCD9B"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(Art. 156, §9º, da Lei n.º 14.133/2021);</w:t>
      </w:r>
    </w:p>
    <w:p w14:paraId="3FCFA1E7"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1B82F8A8" w14:textId="77777777" w:rsidR="008D1E2E" w:rsidRPr="008A5529" w:rsidRDefault="008D1E2E" w:rsidP="008D1E2E">
      <w:pPr>
        <w:numPr>
          <w:ilvl w:val="2"/>
          <w:numId w:val="25"/>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0A8A016D" w14:textId="77777777" w:rsidR="008D1E2E" w:rsidRPr="008A5529" w:rsidRDefault="008D1E2E" w:rsidP="008D1E2E">
      <w:pPr>
        <w:numPr>
          <w:ilvl w:val="2"/>
          <w:numId w:val="25"/>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além da perda desse valor, a diferença será </w:t>
      </w:r>
      <w:r w:rsidRPr="008A5529">
        <w:rPr>
          <w:rFonts w:ascii="Bookman Old Style" w:eastAsia="Arial" w:hAnsi="Bookman Old Style" w:cs="Arial"/>
          <w:color w:val="000000"/>
          <w:sz w:val="24"/>
          <w:szCs w:val="24"/>
        </w:rPr>
        <w:lastRenderedPageBreak/>
        <w:t>descontada da garantia prestada ou será cobrada judicialmente (Art. 156, §8º, da Lei n.º 14.133/2021);</w:t>
      </w:r>
    </w:p>
    <w:p w14:paraId="6B657582" w14:textId="62C03731" w:rsidR="008D1E2E" w:rsidRPr="008A5529" w:rsidRDefault="008D1E2E" w:rsidP="008D1E2E">
      <w:pPr>
        <w:numPr>
          <w:ilvl w:val="2"/>
          <w:numId w:val="25"/>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bookmarkStart w:id="2" w:name="_heading=h.tyjcwt" w:colFirst="0" w:colLast="0"/>
      <w:bookmarkEnd w:id="2"/>
      <w:r w:rsidRPr="008A5529">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00880F56">
        <w:rPr>
          <w:rFonts w:ascii="Bookman Old Style" w:eastAsia="Arial" w:hAnsi="Bookman Old Style" w:cs="Arial"/>
          <w:color w:val="000000"/>
          <w:sz w:val="24"/>
          <w:szCs w:val="24"/>
        </w:rPr>
        <w:t>30 (trinta)</w:t>
      </w:r>
      <w:r w:rsidRPr="008A5529">
        <w:rPr>
          <w:rFonts w:ascii="Bookman Old Style" w:eastAsia="Arial" w:hAnsi="Bookman Old Style" w:cs="Arial"/>
          <w:color w:val="000000"/>
          <w:sz w:val="24"/>
          <w:szCs w:val="24"/>
        </w:rPr>
        <w:t xml:space="preserve"> dias, a contar da data do recebimento da comunicação enviada pela autoridade competente.</w:t>
      </w:r>
    </w:p>
    <w:p w14:paraId="2E59DDEF"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48A3EE45"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Na aplicação das sanções serão considerados (Art. 156, §1º, da Lei n.º 14.133/2021):</w:t>
      </w:r>
    </w:p>
    <w:p w14:paraId="53F89BBD" w14:textId="77777777" w:rsidR="008D1E2E" w:rsidRPr="008A5529" w:rsidRDefault="008D1E2E" w:rsidP="008D1E2E">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 natureza e a gravidade da infração cometida;</w:t>
      </w:r>
    </w:p>
    <w:p w14:paraId="037B973A" w14:textId="77777777" w:rsidR="008D1E2E" w:rsidRPr="008A5529" w:rsidRDefault="008D1E2E" w:rsidP="008D1E2E">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As peculiaridades do caso concreto;</w:t>
      </w:r>
    </w:p>
    <w:p w14:paraId="37653F52" w14:textId="77777777" w:rsidR="008D1E2E" w:rsidRPr="008A5529" w:rsidRDefault="008D1E2E" w:rsidP="008D1E2E">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As circunstâncias agravantes ou atenuantes;</w:t>
      </w:r>
    </w:p>
    <w:p w14:paraId="423B0FEB" w14:textId="77777777" w:rsidR="008D1E2E" w:rsidRPr="008A5529" w:rsidRDefault="008D1E2E" w:rsidP="008D1E2E">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Os danos que dela provierem para o </w:t>
      </w:r>
      <w:r w:rsidRPr="008A5529">
        <w:rPr>
          <w:rFonts w:ascii="Bookman Old Style" w:eastAsia="Arial" w:hAnsi="Bookman Old Style" w:cs="Arial"/>
          <w:b/>
          <w:sz w:val="24"/>
          <w:szCs w:val="24"/>
        </w:rPr>
        <w:t>CONTRATANTE</w:t>
      </w:r>
      <w:r w:rsidRPr="008A5529">
        <w:rPr>
          <w:rFonts w:ascii="Bookman Old Style" w:eastAsia="Arial" w:hAnsi="Bookman Old Style" w:cs="Arial"/>
          <w:sz w:val="24"/>
          <w:szCs w:val="24"/>
        </w:rPr>
        <w:t>;</w:t>
      </w:r>
    </w:p>
    <w:p w14:paraId="6EDE901F" w14:textId="77777777" w:rsidR="008D1E2E" w:rsidRPr="008A5529" w:rsidRDefault="008D1E2E" w:rsidP="008D1E2E">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 implantação ou o aperfeiçoamento de programa de integridade, conforme normas e orientações dos órgãos de controle.</w:t>
      </w:r>
    </w:p>
    <w:p w14:paraId="6B4BE8B9"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5A2BFDF6"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personalidade jurídica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observados, em todos os casos, o contraditório, a ampla defesa e a obrigatoriedade de análise jurídica prévia (Art. 160 da Lei n.º 14.133/2021);</w:t>
      </w:r>
    </w:p>
    <w:p w14:paraId="64BAB0D7"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691F0637" w14:textId="77777777" w:rsidR="008D1E2E" w:rsidRPr="008A5529"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663E4B36" w14:textId="77777777" w:rsidR="008D1E2E" w:rsidRDefault="008D1E2E" w:rsidP="008D1E2E">
      <w:pPr>
        <w:numPr>
          <w:ilvl w:val="1"/>
          <w:numId w:val="25"/>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 xml:space="preserve">Os débitos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para com a Administração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possua com o mesmo órgão ora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w:t>
      </w:r>
    </w:p>
    <w:p w14:paraId="4D7D3760" w14:textId="77777777" w:rsidR="008D1E2E" w:rsidRPr="008A5529" w:rsidRDefault="008D1E2E" w:rsidP="008D1E2E">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57C23F95" w14:textId="5615AF06" w:rsidR="008D1E2E" w:rsidRPr="008A5529" w:rsidRDefault="00880F56" w:rsidP="008D1E2E">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Cordilheira Alta</w:t>
      </w:r>
      <w:r w:rsidR="008D1E2E" w:rsidRPr="008A5529">
        <w:rPr>
          <w:rFonts w:ascii="Bookman Old Style" w:eastAsia="Arial" w:hAnsi="Bookman Old Style" w:cs="Arial"/>
          <w:color w:val="000000"/>
          <w:sz w:val="24"/>
          <w:szCs w:val="24"/>
        </w:rPr>
        <w:t xml:space="preserve">, </w:t>
      </w:r>
      <w:r w:rsidR="00C905C1">
        <w:rPr>
          <w:rFonts w:ascii="Bookman Old Style" w:eastAsia="Arial" w:hAnsi="Bookman Old Style" w:cs="Arial"/>
          <w:color w:val="000000"/>
          <w:sz w:val="24"/>
          <w:szCs w:val="24"/>
        </w:rPr>
        <w:t>24</w:t>
      </w:r>
      <w:r w:rsidR="008D1E2E" w:rsidRPr="008A5529">
        <w:rPr>
          <w:rFonts w:ascii="Bookman Old Style" w:eastAsia="Arial" w:hAnsi="Bookman Old Style" w:cs="Arial"/>
          <w:color w:val="000000"/>
          <w:sz w:val="24"/>
          <w:szCs w:val="24"/>
        </w:rPr>
        <w:t xml:space="preserve"> de </w:t>
      </w:r>
      <w:r>
        <w:rPr>
          <w:rFonts w:ascii="Bookman Old Style" w:eastAsia="Arial" w:hAnsi="Bookman Old Style" w:cs="Arial"/>
          <w:color w:val="000000"/>
          <w:sz w:val="24"/>
          <w:szCs w:val="24"/>
        </w:rPr>
        <w:t>junho</w:t>
      </w:r>
      <w:r w:rsidR="008D1E2E" w:rsidRPr="008A5529">
        <w:rPr>
          <w:rFonts w:ascii="Bookman Old Style" w:eastAsia="Arial" w:hAnsi="Bookman Old Style" w:cs="Arial"/>
          <w:color w:val="000000"/>
          <w:sz w:val="24"/>
          <w:szCs w:val="24"/>
        </w:rPr>
        <w:t xml:space="preserve"> de </w:t>
      </w:r>
      <w:r>
        <w:rPr>
          <w:rFonts w:ascii="Bookman Old Style" w:eastAsia="Arial" w:hAnsi="Bookman Old Style" w:cs="Arial"/>
          <w:color w:val="000000"/>
          <w:sz w:val="24"/>
          <w:szCs w:val="24"/>
        </w:rPr>
        <w:t>2024</w:t>
      </w:r>
      <w:r w:rsidR="008D1E2E" w:rsidRPr="008A5529">
        <w:rPr>
          <w:rFonts w:ascii="Bookman Old Style" w:eastAsia="Arial" w:hAnsi="Bookman Old Style" w:cs="Arial"/>
          <w:color w:val="000000"/>
          <w:sz w:val="24"/>
          <w:szCs w:val="24"/>
        </w:rPr>
        <w:t>.</w:t>
      </w:r>
    </w:p>
    <w:p w14:paraId="520E0B93" w14:textId="77777777" w:rsidR="008D1E2E" w:rsidRPr="008A5529" w:rsidRDefault="008D1E2E" w:rsidP="008D1E2E">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289E303" w14:textId="77777777" w:rsidR="00636796" w:rsidRDefault="00636796" w:rsidP="00636796">
      <w:pPr>
        <w:spacing w:after="120" w:line="240" w:lineRule="auto"/>
        <w:rPr>
          <w:rFonts w:ascii="Bookman Old Style" w:eastAsia="Arial" w:hAnsi="Bookman Old Style" w:cs="Arial"/>
          <w:sz w:val="24"/>
          <w:szCs w:val="24"/>
        </w:rPr>
      </w:pPr>
    </w:p>
    <w:p w14:paraId="5ED6DF93" w14:textId="77777777" w:rsidR="00636796" w:rsidRPr="008A5529" w:rsidRDefault="00636796" w:rsidP="00636796">
      <w:pPr>
        <w:spacing w:after="120" w:line="240" w:lineRule="auto"/>
        <w:ind w:left="357"/>
        <w:jc w:val="center"/>
        <w:rPr>
          <w:rFonts w:ascii="Bookman Old Style" w:eastAsia="Arial" w:hAnsi="Bookman Old Style" w:cs="Arial"/>
          <w:sz w:val="24"/>
          <w:szCs w:val="24"/>
        </w:rPr>
      </w:pPr>
      <w:r w:rsidRPr="008A5529">
        <w:rPr>
          <w:rFonts w:ascii="Bookman Old Style" w:eastAsia="Arial" w:hAnsi="Bookman Old Style" w:cs="Arial"/>
          <w:sz w:val="24"/>
          <w:szCs w:val="24"/>
        </w:rPr>
        <w:t xml:space="preserve">     __________________________________</w:t>
      </w:r>
    </w:p>
    <w:p w14:paraId="744C0369" w14:textId="77777777" w:rsidR="00636796" w:rsidRDefault="00636796" w:rsidP="00636796">
      <w:pPr>
        <w:spacing w:after="120" w:line="240" w:lineRule="auto"/>
        <w:ind w:left="360"/>
        <w:jc w:val="center"/>
        <w:rPr>
          <w:rFonts w:ascii="Bookman Old Style" w:eastAsia="Arial" w:hAnsi="Bookman Old Style" w:cs="Arial"/>
          <w:sz w:val="24"/>
          <w:szCs w:val="24"/>
        </w:rPr>
      </w:pPr>
      <w:r>
        <w:rPr>
          <w:rFonts w:ascii="Bookman Old Style" w:eastAsia="Arial" w:hAnsi="Bookman Old Style" w:cs="Arial"/>
          <w:sz w:val="24"/>
          <w:szCs w:val="24"/>
        </w:rPr>
        <w:t xml:space="preserve">Sonia Cristina Della Torres </w:t>
      </w:r>
      <w:proofErr w:type="spellStart"/>
      <w:r>
        <w:rPr>
          <w:rFonts w:ascii="Bookman Old Style" w:eastAsia="Arial" w:hAnsi="Bookman Old Style" w:cs="Arial"/>
          <w:sz w:val="24"/>
          <w:szCs w:val="24"/>
        </w:rPr>
        <w:t>Briancini</w:t>
      </w:r>
      <w:proofErr w:type="spellEnd"/>
    </w:p>
    <w:p w14:paraId="232BBA66" w14:textId="77777777" w:rsidR="00636796" w:rsidRPr="008A5529" w:rsidRDefault="00636796" w:rsidP="00636796">
      <w:pPr>
        <w:spacing w:after="120" w:line="240" w:lineRule="auto"/>
        <w:ind w:left="360"/>
        <w:jc w:val="center"/>
        <w:rPr>
          <w:rFonts w:ascii="Bookman Old Style" w:eastAsia="Arial" w:hAnsi="Bookman Old Style" w:cs="Arial"/>
          <w:sz w:val="24"/>
          <w:szCs w:val="24"/>
        </w:rPr>
      </w:pPr>
      <w:r>
        <w:rPr>
          <w:rFonts w:ascii="Bookman Old Style" w:eastAsia="Arial" w:hAnsi="Bookman Old Style" w:cs="Arial"/>
          <w:sz w:val="24"/>
          <w:szCs w:val="24"/>
        </w:rPr>
        <w:t>Responsável pela Secretaria de Cultura, Esportes e Turismo</w:t>
      </w:r>
    </w:p>
    <w:p w14:paraId="446A3E78" w14:textId="77777777" w:rsidR="008D1E2E" w:rsidRPr="008A5529" w:rsidRDefault="008D1E2E" w:rsidP="008D1E2E">
      <w:pPr>
        <w:pBdr>
          <w:top w:val="nil"/>
          <w:left w:val="nil"/>
          <w:bottom w:val="nil"/>
          <w:right w:val="nil"/>
          <w:between w:val="nil"/>
        </w:pBdr>
        <w:spacing w:after="120" w:line="240" w:lineRule="auto"/>
        <w:ind w:left="720"/>
        <w:rPr>
          <w:rFonts w:ascii="Bookman Old Style" w:eastAsia="Arial" w:hAnsi="Bookman Old Style" w:cs="Arial"/>
          <w:sz w:val="24"/>
          <w:szCs w:val="24"/>
        </w:rPr>
      </w:pPr>
    </w:p>
    <w:p w14:paraId="3AEB633A" w14:textId="77777777" w:rsidR="008D1E2E" w:rsidRPr="008A5529" w:rsidRDefault="008D1E2E" w:rsidP="008D1E2E">
      <w:pPr>
        <w:pBdr>
          <w:top w:val="nil"/>
          <w:left w:val="nil"/>
          <w:bottom w:val="nil"/>
          <w:right w:val="nil"/>
          <w:between w:val="nil"/>
        </w:pBdr>
        <w:spacing w:after="120" w:line="240" w:lineRule="auto"/>
        <w:ind w:left="720"/>
        <w:rPr>
          <w:rFonts w:ascii="Bookman Old Style" w:eastAsia="Arial" w:hAnsi="Bookman Old Style" w:cs="Arial"/>
          <w:sz w:val="24"/>
          <w:szCs w:val="24"/>
        </w:rPr>
      </w:pPr>
    </w:p>
    <w:p w14:paraId="0A8C4EA9" w14:textId="3967B5A2" w:rsidR="008D1E2E" w:rsidRPr="008A5529" w:rsidRDefault="008D1E2E" w:rsidP="00636796">
      <w:pPr>
        <w:spacing w:after="120" w:line="240" w:lineRule="auto"/>
        <w:ind w:left="357"/>
        <w:jc w:val="center"/>
        <w:rPr>
          <w:rFonts w:ascii="Bookman Old Style" w:eastAsia="Arial" w:hAnsi="Bookman Old Style" w:cs="Arial"/>
          <w:sz w:val="24"/>
          <w:szCs w:val="24"/>
        </w:rPr>
      </w:pPr>
      <w:r w:rsidRPr="008A5529">
        <w:rPr>
          <w:rFonts w:ascii="Bookman Old Style" w:eastAsia="Arial" w:hAnsi="Bookman Old Style" w:cs="Arial"/>
          <w:sz w:val="24"/>
          <w:szCs w:val="24"/>
        </w:rPr>
        <w:t xml:space="preserve">   </w:t>
      </w:r>
    </w:p>
    <w:p w14:paraId="43B251EE" w14:textId="77777777" w:rsidR="008D1E2E" w:rsidRPr="008A5529" w:rsidRDefault="008D1E2E" w:rsidP="008D1E2E">
      <w:pPr>
        <w:spacing w:after="120" w:line="240" w:lineRule="auto"/>
        <w:rPr>
          <w:rFonts w:ascii="Bookman Old Style" w:hAnsi="Bookman Old Style"/>
          <w:sz w:val="24"/>
          <w:szCs w:val="24"/>
        </w:rPr>
      </w:pPr>
    </w:p>
    <w:p w14:paraId="2AFDFB91" w14:textId="77777777" w:rsidR="000F56BC" w:rsidRDefault="000F56BC"/>
    <w:sectPr w:rsidR="000F56BC" w:rsidSect="00A83EF4">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2F581" w14:textId="77777777" w:rsidR="00794C6B" w:rsidRDefault="00794C6B" w:rsidP="008259A2">
      <w:pPr>
        <w:spacing w:after="0" w:line="240" w:lineRule="auto"/>
      </w:pPr>
      <w:r>
        <w:separator/>
      </w:r>
    </w:p>
  </w:endnote>
  <w:endnote w:type="continuationSeparator" w:id="0">
    <w:p w14:paraId="39BB46D7" w14:textId="77777777" w:rsidR="00794C6B" w:rsidRDefault="00794C6B" w:rsidP="00825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8D0B5" w14:textId="77777777" w:rsidR="00794C6B" w:rsidRDefault="00794C6B" w:rsidP="008259A2">
      <w:pPr>
        <w:spacing w:after="0" w:line="240" w:lineRule="auto"/>
      </w:pPr>
      <w:r>
        <w:separator/>
      </w:r>
    </w:p>
  </w:footnote>
  <w:footnote w:type="continuationSeparator" w:id="0">
    <w:p w14:paraId="7ACD9908" w14:textId="77777777" w:rsidR="00794C6B" w:rsidRDefault="00794C6B" w:rsidP="008259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712"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359"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4"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8"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9" w15:restartNumberingAfterBreak="0">
    <w:nsid w:val="7EFE2F0E"/>
    <w:multiLevelType w:val="multilevel"/>
    <w:tmpl w:val="B8ECA558"/>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23"/>
  </w:num>
  <w:num w:numId="3">
    <w:abstractNumId w:val="20"/>
  </w:num>
  <w:num w:numId="4">
    <w:abstractNumId w:val="28"/>
  </w:num>
  <w:num w:numId="5">
    <w:abstractNumId w:val="2"/>
  </w:num>
  <w:num w:numId="6">
    <w:abstractNumId w:val="29"/>
  </w:num>
  <w:num w:numId="7">
    <w:abstractNumId w:val="9"/>
  </w:num>
  <w:num w:numId="8">
    <w:abstractNumId w:val="7"/>
  </w:num>
  <w:num w:numId="9">
    <w:abstractNumId w:val="19"/>
  </w:num>
  <w:num w:numId="10">
    <w:abstractNumId w:val="4"/>
  </w:num>
  <w:num w:numId="11">
    <w:abstractNumId w:val="11"/>
  </w:num>
  <w:num w:numId="12">
    <w:abstractNumId w:val="1"/>
  </w:num>
  <w:num w:numId="13">
    <w:abstractNumId w:val="16"/>
  </w:num>
  <w:num w:numId="14">
    <w:abstractNumId w:val="21"/>
  </w:num>
  <w:num w:numId="15">
    <w:abstractNumId w:val="17"/>
  </w:num>
  <w:num w:numId="16">
    <w:abstractNumId w:val="26"/>
  </w:num>
  <w:num w:numId="17">
    <w:abstractNumId w:val="10"/>
  </w:num>
  <w:num w:numId="18">
    <w:abstractNumId w:val="5"/>
  </w:num>
  <w:num w:numId="19">
    <w:abstractNumId w:val="8"/>
  </w:num>
  <w:num w:numId="20">
    <w:abstractNumId w:val="18"/>
  </w:num>
  <w:num w:numId="21">
    <w:abstractNumId w:val="27"/>
  </w:num>
  <w:num w:numId="22">
    <w:abstractNumId w:val="15"/>
  </w:num>
  <w:num w:numId="23">
    <w:abstractNumId w:val="13"/>
  </w:num>
  <w:num w:numId="24">
    <w:abstractNumId w:val="25"/>
  </w:num>
  <w:num w:numId="25">
    <w:abstractNumId w:val="3"/>
  </w:num>
  <w:num w:numId="26">
    <w:abstractNumId w:val="24"/>
  </w:num>
  <w:num w:numId="27">
    <w:abstractNumId w:val="0"/>
  </w:num>
  <w:num w:numId="28">
    <w:abstractNumId w:val="6"/>
  </w:num>
  <w:num w:numId="29">
    <w:abstractNumId w:val="12"/>
  </w:num>
  <w:num w:numId="30">
    <w:abstractNumId w:val="14"/>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E2E"/>
    <w:rsid w:val="00016DBC"/>
    <w:rsid w:val="0002672A"/>
    <w:rsid w:val="00062D26"/>
    <w:rsid w:val="000776BA"/>
    <w:rsid w:val="000F56BC"/>
    <w:rsid w:val="000F59B5"/>
    <w:rsid w:val="00154598"/>
    <w:rsid w:val="00181C78"/>
    <w:rsid w:val="001A2031"/>
    <w:rsid w:val="002163E1"/>
    <w:rsid w:val="0026697B"/>
    <w:rsid w:val="00271680"/>
    <w:rsid w:val="002B2AD1"/>
    <w:rsid w:val="002B4C19"/>
    <w:rsid w:val="00320F85"/>
    <w:rsid w:val="00375C61"/>
    <w:rsid w:val="00442773"/>
    <w:rsid w:val="004B6C8E"/>
    <w:rsid w:val="004D7C45"/>
    <w:rsid w:val="00506E06"/>
    <w:rsid w:val="00522612"/>
    <w:rsid w:val="00566C6D"/>
    <w:rsid w:val="00620EFF"/>
    <w:rsid w:val="00636796"/>
    <w:rsid w:val="00637D81"/>
    <w:rsid w:val="00660B1B"/>
    <w:rsid w:val="006723FC"/>
    <w:rsid w:val="006847A5"/>
    <w:rsid w:val="00697E7F"/>
    <w:rsid w:val="00794C6B"/>
    <w:rsid w:val="008060BC"/>
    <w:rsid w:val="008259A2"/>
    <w:rsid w:val="008577E7"/>
    <w:rsid w:val="00864950"/>
    <w:rsid w:val="00880F56"/>
    <w:rsid w:val="00886F42"/>
    <w:rsid w:val="008D1E2E"/>
    <w:rsid w:val="0093399D"/>
    <w:rsid w:val="00992698"/>
    <w:rsid w:val="009F30B3"/>
    <w:rsid w:val="00A12DE1"/>
    <w:rsid w:val="00A2716D"/>
    <w:rsid w:val="00B148D1"/>
    <w:rsid w:val="00B82AAA"/>
    <w:rsid w:val="00BD0D64"/>
    <w:rsid w:val="00C20AEC"/>
    <w:rsid w:val="00C7023F"/>
    <w:rsid w:val="00C905C1"/>
    <w:rsid w:val="00D01DEC"/>
    <w:rsid w:val="00D30810"/>
    <w:rsid w:val="00E07B93"/>
    <w:rsid w:val="00E9252F"/>
    <w:rsid w:val="00EA42FA"/>
    <w:rsid w:val="00EC005A"/>
    <w:rsid w:val="00F3488B"/>
    <w:rsid w:val="00F67C34"/>
    <w:rsid w:val="00F72C6C"/>
    <w:rsid w:val="00FB7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5333"/>
  <w15:chartTrackingRefBased/>
  <w15:docId w15:val="{BFFE958B-5C30-434F-8B34-4EEAFC909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E2E"/>
    <w:pPr>
      <w:spacing w:after="200" w:line="276" w:lineRule="auto"/>
    </w:pPr>
    <w:rPr>
      <w:rFonts w:ascii="Calibri" w:eastAsia="Calibri" w:hAnsi="Calibri" w:cs="Calibri"/>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D1E2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D1E2E"/>
    <w:rPr>
      <w:rFonts w:ascii="Segoe UI" w:eastAsia="Calibri" w:hAnsi="Segoe UI" w:cs="Segoe UI"/>
      <w:sz w:val="18"/>
      <w:szCs w:val="18"/>
      <w:lang w:eastAsia="pt-BR"/>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rFonts w:ascii="Calibri" w:eastAsia="Calibri" w:hAnsi="Calibri" w:cs="Calibri"/>
      <w:sz w:val="20"/>
      <w:szCs w:val="20"/>
      <w:lang w:eastAsia="pt-BR"/>
    </w:rPr>
  </w:style>
  <w:style w:type="character" w:styleId="Refdecomentrio">
    <w:name w:val="annotation reference"/>
    <w:basedOn w:val="Fontepargpadro"/>
    <w:uiPriority w:val="99"/>
    <w:semiHidden/>
    <w:unhideWhenUsed/>
    <w:rPr>
      <w:sz w:val="16"/>
      <w:szCs w:val="16"/>
    </w:rPr>
  </w:style>
  <w:style w:type="paragraph" w:styleId="Cabealho">
    <w:name w:val="header"/>
    <w:basedOn w:val="Normal"/>
    <w:link w:val="CabealhoChar"/>
    <w:uiPriority w:val="99"/>
    <w:unhideWhenUsed/>
    <w:rsid w:val="008259A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259A2"/>
    <w:rPr>
      <w:rFonts w:ascii="Calibri" w:eastAsia="Calibri" w:hAnsi="Calibri" w:cs="Calibri"/>
      <w:lang w:eastAsia="pt-BR"/>
    </w:rPr>
  </w:style>
  <w:style w:type="paragraph" w:styleId="Rodap">
    <w:name w:val="footer"/>
    <w:basedOn w:val="Normal"/>
    <w:link w:val="RodapChar"/>
    <w:uiPriority w:val="99"/>
    <w:unhideWhenUsed/>
    <w:rsid w:val="008259A2"/>
    <w:pPr>
      <w:tabs>
        <w:tab w:val="center" w:pos="4252"/>
        <w:tab w:val="right" w:pos="8504"/>
      </w:tabs>
      <w:spacing w:after="0" w:line="240" w:lineRule="auto"/>
    </w:pPr>
  </w:style>
  <w:style w:type="character" w:customStyle="1" w:styleId="RodapChar">
    <w:name w:val="Rodapé Char"/>
    <w:basedOn w:val="Fontepargpadro"/>
    <w:link w:val="Rodap"/>
    <w:uiPriority w:val="99"/>
    <w:rsid w:val="008259A2"/>
    <w:rPr>
      <w:rFonts w:ascii="Calibri" w:eastAsia="Calibri" w:hAnsi="Calibri" w:cs="Calibri"/>
      <w:lang w:eastAsia="pt-BR"/>
    </w:rPr>
  </w:style>
  <w:style w:type="table" w:styleId="Tabelacomgrade">
    <w:name w:val="Table Grid"/>
    <w:basedOn w:val="Tabelanormal"/>
    <w:uiPriority w:val="39"/>
    <w:rsid w:val="00266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026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74683">
      <w:bodyDiv w:val="1"/>
      <w:marLeft w:val="0"/>
      <w:marRight w:val="0"/>
      <w:marTop w:val="0"/>
      <w:marBottom w:val="0"/>
      <w:divBdr>
        <w:top w:val="none" w:sz="0" w:space="0" w:color="auto"/>
        <w:left w:val="none" w:sz="0" w:space="0" w:color="auto"/>
        <w:bottom w:val="none" w:sz="0" w:space="0" w:color="auto"/>
        <w:right w:val="none" w:sz="0" w:space="0" w:color="auto"/>
      </w:divBdr>
    </w:div>
    <w:div w:id="1480075536">
      <w:bodyDiv w:val="1"/>
      <w:marLeft w:val="0"/>
      <w:marRight w:val="0"/>
      <w:marTop w:val="0"/>
      <w:marBottom w:val="0"/>
      <w:divBdr>
        <w:top w:val="none" w:sz="0" w:space="0" w:color="auto"/>
        <w:left w:val="none" w:sz="0" w:space="0" w:color="auto"/>
        <w:bottom w:val="none" w:sz="0" w:space="0" w:color="auto"/>
        <w:right w:val="none" w:sz="0" w:space="0" w:color="auto"/>
      </w:divBdr>
    </w:div>
    <w:div w:id="185560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16</Pages>
  <Words>5150</Words>
  <Characters>27816</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9</cp:revision>
  <dcterms:created xsi:type="dcterms:W3CDTF">2024-06-28T19:19:00Z</dcterms:created>
  <dcterms:modified xsi:type="dcterms:W3CDTF">2024-06-28T19:47:00Z</dcterms:modified>
</cp:coreProperties>
</file>