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4257549F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5B7A69">
        <w:t>a</w:t>
      </w:r>
      <w:r w:rsidR="00DF28CC">
        <w:t xml:space="preserve"> </w:t>
      </w:r>
      <w:r w:rsidR="005B7A69" w:rsidRPr="005B7A69">
        <w:t>autoridade competente Sr. Rudimar Marafon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06B4F791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5B7A69">
        <w:t>6</w:t>
      </w:r>
      <w:r w:rsidR="00F549B6">
        <w:t>5</w:t>
      </w:r>
      <w:r>
        <w:t>/202</w:t>
      </w:r>
      <w:r w:rsidR="00351E7C">
        <w:t>4</w:t>
      </w:r>
    </w:p>
    <w:p w14:paraId="3A7DE0A0" w14:textId="2EA78306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 w:rsidR="00F549B6">
        <w:t>10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09022406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</w:t>
      </w:r>
      <w:r w:rsidR="00F805DB">
        <w:rPr>
          <w:b w:val="0"/>
        </w:rPr>
        <w:t>Dispensa eletronica</w:t>
      </w:r>
      <w:r>
        <w:rPr>
          <w:b w:val="0"/>
        </w:rPr>
        <w:t xml:space="preserve"> tem por </w:t>
      </w:r>
      <w:r w:rsidR="007D577B">
        <w:rPr>
          <w:b w:val="0"/>
        </w:rPr>
        <w:t xml:space="preserve">objeto </w:t>
      </w:r>
      <w:r w:rsidR="00F805DB">
        <w:rPr>
          <w:b w:val="0"/>
        </w:rPr>
        <w:t>a</w:t>
      </w:r>
      <w:r w:rsidR="007D577B">
        <w:rPr>
          <w:b w:val="0"/>
        </w:rPr>
        <w:t xml:space="preserve"> </w:t>
      </w:r>
      <w:r w:rsidR="00F549B6" w:rsidRPr="002C6F3E">
        <w:rPr>
          <w:rFonts w:ascii="Bookman Old Style" w:hAnsi="Bookman Old Style" w:cs="Bookman Old Style,Bold"/>
        </w:rPr>
        <w:t>CONTRATAÇÃO DE</w:t>
      </w:r>
      <w:r w:rsidR="00F549B6">
        <w:rPr>
          <w:rFonts w:ascii="Bookman Old Style" w:hAnsi="Bookman Old Style" w:cs="Bookman Old Style,Bold"/>
        </w:rPr>
        <w:t xml:space="preserve"> EMPRESA PARA FORNECIMENTO DE</w:t>
      </w:r>
      <w:r w:rsidR="00F549B6" w:rsidRPr="002C6F3E">
        <w:rPr>
          <w:rFonts w:ascii="Bookman Old Style" w:hAnsi="Bookman Old Style" w:cs="Bookman Old Style,Bold"/>
        </w:rPr>
        <w:t xml:space="preserve"> LICENÇA (MENSAL) DE SOFTWARE PARA SISTEMA DE INFORMAÇÕES GEOGRÁFICAS (SIG) / PLATAFORMA EM NUVEM, COM ACESSOS WEB E APP, PARA CADASTRAMENTO E GERENCIAMENTO DE DADOS GEOGRÁFICOS DE TODO O TERRITÓRIO MUNICIPAL (URBANO E RURAL) DE CORDILHEIRA ALTA/SC; COM FUNCIONALIDADES DE DESENHO/VETORIZAÇÃO, GERENCIAMENTO DE ARQUIVOS DIGITAIS, CENSO (DEMOGRÁFICO, SOCIAL, ESCOLAR, EMPRESARIAL, AGROPECUÁRIO), CADASTRAMENTOS (IMOBILIÁRIO, CEMITÉRIOS, REGULARIZAÇÕES FUNDIÁRIAS), CADASTRO TERRITORIAL MULTIFINALITÁRIO, GERENCIAMENTO E REGISTRO DE VISITAS E FISCALIZAÇÕES, E FUNÇÃO MOBILE PARA ROTEIRIZAÇÕES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62D8D98A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>ENVIO DAS PROPOSTAS: DO DIA 1</w:t>
      </w:r>
      <w:r w:rsidR="00F549B6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/06/2024 ÀS 17H00MIN ATÉ O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</w:t>
      </w:r>
      <w:r w:rsidR="00F549B6">
        <w:rPr>
          <w:rFonts w:ascii="Bookman Old Style" w:hAnsi="Bookman Old Style"/>
          <w:b/>
          <w:sz w:val="24"/>
          <w:szCs w:val="24"/>
          <w:highlight w:val="yellow"/>
        </w:rPr>
        <w:t>1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ÀS 07H30MIN</w:t>
      </w:r>
    </w:p>
    <w:p w14:paraId="5282444A" w14:textId="1028BCDC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FASE DE LANCES: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</w:t>
      </w:r>
      <w:r w:rsidR="00F549B6">
        <w:rPr>
          <w:rFonts w:ascii="Bookman Old Style" w:hAnsi="Bookman Old Style"/>
          <w:b/>
          <w:sz w:val="24"/>
          <w:szCs w:val="24"/>
          <w:highlight w:val="yellow"/>
        </w:rPr>
        <w:t>1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4935F1B8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B7A69">
        <w:rPr>
          <w:color w:val="FF0000"/>
        </w:rPr>
        <w:t>1</w:t>
      </w:r>
      <w:r w:rsidR="00F549B6">
        <w:rPr>
          <w:color w:val="FF0000"/>
        </w:rPr>
        <w:t>7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77777777" w:rsidR="005B7A69" w:rsidRDefault="005B7A69" w:rsidP="007D577B">
      <w:pPr>
        <w:pStyle w:val="Corpodetexto"/>
        <w:spacing w:line="252" w:lineRule="exact"/>
        <w:jc w:val="both"/>
      </w:pPr>
      <w:r>
        <w:t>RUDIMAR MARAFON</w:t>
      </w:r>
    </w:p>
    <w:p w14:paraId="440894A9" w14:textId="064228C5" w:rsidR="00405283" w:rsidRDefault="005B7A69" w:rsidP="007D577B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623EEA"/>
    <w:rsid w:val="0064420E"/>
    <w:rsid w:val="00666635"/>
    <w:rsid w:val="006A12D9"/>
    <w:rsid w:val="006A2A4B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49B6"/>
    <w:rsid w:val="00F5668F"/>
    <w:rsid w:val="00F57171"/>
    <w:rsid w:val="00F74F8A"/>
    <w:rsid w:val="00F805DB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318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86</cp:revision>
  <cp:lastPrinted>2024-02-29T23:47:00Z</cp:lastPrinted>
  <dcterms:created xsi:type="dcterms:W3CDTF">2023-02-17T17:54:00Z</dcterms:created>
  <dcterms:modified xsi:type="dcterms:W3CDTF">2024-06-17T13:52:00Z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