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C0C" w:rsidRPr="00E518E4" w:rsidRDefault="00B53C0C" w:rsidP="00B53C0C">
      <w:pPr>
        <w:spacing w:after="120" w:line="240" w:lineRule="auto"/>
        <w:jc w:val="center"/>
        <w:rPr>
          <w:rFonts w:ascii="OCR-B 10 BT" w:eastAsia="Arial" w:hAnsi="OCR-B 10 BT" w:cs="Arial"/>
          <w:b/>
          <w:color w:val="000000"/>
          <w:sz w:val="30"/>
          <w:szCs w:val="30"/>
        </w:rPr>
      </w:pPr>
      <w:bookmarkStart w:id="0" w:name="_Hlk161141934"/>
      <w:r w:rsidRPr="009C4D80">
        <w:rPr>
          <w:rFonts w:ascii="OCR-B 10 BT" w:eastAsia="Arial" w:hAnsi="OCR-B 10 BT" w:cs="Arial"/>
          <w:b/>
          <w:color w:val="000000"/>
          <w:sz w:val="30"/>
          <w:szCs w:val="30"/>
        </w:rPr>
        <w:t>TERMO DE REFER</w:t>
      </w:r>
      <w:r w:rsidRPr="009C4D80">
        <w:rPr>
          <w:rFonts w:eastAsia="Arial"/>
          <w:b/>
          <w:color w:val="000000"/>
          <w:sz w:val="30"/>
          <w:szCs w:val="30"/>
        </w:rPr>
        <w:t>Ê</w:t>
      </w:r>
      <w:r w:rsidRPr="009C4D80">
        <w:rPr>
          <w:rFonts w:ascii="OCR-B 10 BT" w:eastAsia="Arial" w:hAnsi="OCR-B 10 BT" w:cs="Arial"/>
          <w:b/>
          <w:color w:val="000000"/>
          <w:sz w:val="30"/>
          <w:szCs w:val="30"/>
        </w:rPr>
        <w:t>NCIA</w:t>
      </w: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OBJETO</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Definição do objeto:</w:t>
      </w:r>
    </w:p>
    <w:p w:rsidR="00B53C0C" w:rsidRPr="00A67753" w:rsidRDefault="00B53C0C" w:rsidP="00B53C0C">
      <w:pPr>
        <w:numPr>
          <w:ilvl w:val="2"/>
          <w:numId w:val="9"/>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Pr>
          <w:rFonts w:ascii="Bookman Old Style" w:eastAsia="Arial" w:hAnsi="Bookman Old Style" w:cs="Arial"/>
          <w:color w:val="000000"/>
          <w:sz w:val="24"/>
          <w:szCs w:val="24"/>
        </w:rPr>
        <w:t xml:space="preserve">Dispensa Eletrônica para </w:t>
      </w:r>
      <w:bookmarkStart w:id="1" w:name="_Hlk170386542"/>
      <w:r w:rsidRPr="00EF0EB6">
        <w:rPr>
          <w:rFonts w:ascii="Bookman Old Style" w:eastAsia="Arial" w:hAnsi="Bookman Old Style" w:cs="Arial"/>
          <w:color w:val="000000"/>
          <w:sz w:val="24"/>
          <w:szCs w:val="24"/>
        </w:rPr>
        <w:t>contratação de empresa especializada</w:t>
      </w:r>
      <w:r>
        <w:rPr>
          <w:rFonts w:ascii="Bookman Old Style" w:eastAsia="Arial" w:hAnsi="Bookman Old Style" w:cs="Arial"/>
          <w:color w:val="000000"/>
          <w:sz w:val="24"/>
          <w:szCs w:val="24"/>
        </w:rPr>
        <w:t xml:space="preserve"> para f</w:t>
      </w:r>
      <w:r w:rsidRPr="00A67753">
        <w:rPr>
          <w:rFonts w:ascii="Bookman Old Style" w:eastAsia="Arial" w:hAnsi="Bookman Old Style" w:cs="Arial"/>
          <w:color w:val="000000"/>
          <w:sz w:val="24"/>
          <w:szCs w:val="24"/>
        </w:rPr>
        <w:t>ornecimento</w:t>
      </w:r>
      <w:r>
        <w:rPr>
          <w:rFonts w:ascii="Bookman Old Style" w:eastAsia="Arial" w:hAnsi="Bookman Old Style" w:cs="Arial"/>
          <w:color w:val="000000"/>
          <w:sz w:val="24"/>
          <w:szCs w:val="24"/>
        </w:rPr>
        <w:t xml:space="preserve"> de </w:t>
      </w:r>
      <w:r w:rsidRPr="009C4D80">
        <w:rPr>
          <w:rFonts w:ascii="Bookman Old Style" w:eastAsia="Times New Roman" w:hAnsi="Bookman Old Style" w:cs="Arial"/>
          <w:b/>
          <w:sz w:val="24"/>
          <w:szCs w:val="24"/>
          <w:lang w:eastAsia="ar-SA"/>
        </w:rPr>
        <w:t>serviço de monitoramento por alarmes, com instalação e fornecimento de todos os materiais e equipamentos em regime de comodato</w:t>
      </w:r>
      <w:bookmarkEnd w:id="1"/>
      <w:r w:rsidRPr="00A67753">
        <w:rPr>
          <w:rFonts w:ascii="Bookman Old Style" w:eastAsia="Arial" w:hAnsi="Bookman Old Style" w:cs="Arial"/>
          <w:color w:val="000000"/>
          <w:sz w:val="24"/>
          <w:szCs w:val="24"/>
        </w:rPr>
        <w:t>, nos termos da tabela abaixo, conforme condições</w:t>
      </w:r>
      <w:r>
        <w:rPr>
          <w:rFonts w:ascii="Bookman Old Style" w:eastAsia="Arial" w:hAnsi="Bookman Old Style" w:cs="Arial"/>
          <w:color w:val="000000"/>
          <w:sz w:val="24"/>
          <w:szCs w:val="24"/>
        </w:rPr>
        <w:t>, locais</w:t>
      </w:r>
      <w:r w:rsidRPr="00A67753">
        <w:rPr>
          <w:rFonts w:ascii="Bookman Old Style" w:eastAsia="Arial" w:hAnsi="Bookman Old Style" w:cs="Arial"/>
          <w:color w:val="000000"/>
          <w:sz w:val="24"/>
          <w:szCs w:val="24"/>
        </w:rPr>
        <w:t xml:space="preserve"> e exigências estabelecidas neste instrumento.</w:t>
      </w:r>
    </w:p>
    <w:p w:rsidR="00B53C0C" w:rsidRPr="00A67753" w:rsidRDefault="00B53C0C" w:rsidP="00B53C0C">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1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4"/>
        <w:gridCol w:w="2835"/>
        <w:gridCol w:w="1417"/>
        <w:gridCol w:w="1276"/>
        <w:gridCol w:w="1276"/>
        <w:gridCol w:w="1417"/>
      </w:tblGrid>
      <w:tr w:rsidR="00B53C0C" w:rsidRPr="00A67753" w:rsidTr="009600ED">
        <w:trPr>
          <w:cantSplit/>
          <w:tblHeader/>
        </w:trPr>
        <w:tc>
          <w:tcPr>
            <w:tcW w:w="954" w:type="dxa"/>
            <w:vAlign w:val="center"/>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ITEM</w:t>
            </w:r>
          </w:p>
        </w:tc>
        <w:tc>
          <w:tcPr>
            <w:tcW w:w="2835" w:type="dxa"/>
            <w:vAlign w:val="center"/>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ESPECIFICAÇÃO</w:t>
            </w:r>
          </w:p>
        </w:tc>
        <w:tc>
          <w:tcPr>
            <w:tcW w:w="1417" w:type="dxa"/>
            <w:vAlign w:val="center"/>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UNID. DE MEDIDA</w:t>
            </w:r>
          </w:p>
        </w:tc>
        <w:tc>
          <w:tcPr>
            <w:tcW w:w="1276" w:type="dxa"/>
            <w:vAlign w:val="center"/>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QUANT.</w:t>
            </w:r>
          </w:p>
        </w:tc>
        <w:tc>
          <w:tcPr>
            <w:tcW w:w="1276" w:type="dxa"/>
            <w:vAlign w:val="center"/>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VALOR </w:t>
            </w:r>
            <w:r w:rsidRPr="00A67753">
              <w:rPr>
                <w:rFonts w:ascii="Bookman Old Style" w:eastAsia="Arial" w:hAnsi="Bookman Old Style" w:cs="Arial"/>
                <w:b/>
                <w:sz w:val="24"/>
                <w:szCs w:val="24"/>
              </w:rPr>
              <w:t>UNIT.</w:t>
            </w:r>
          </w:p>
        </w:tc>
        <w:tc>
          <w:tcPr>
            <w:tcW w:w="1417" w:type="dxa"/>
            <w:vAlign w:val="center"/>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VALOR TOTAL</w:t>
            </w:r>
          </w:p>
        </w:tc>
      </w:tr>
      <w:tr w:rsidR="00B53C0C" w:rsidRPr="00A67753" w:rsidTr="009600ED">
        <w:trPr>
          <w:cantSplit/>
          <w:tblHeader/>
        </w:trPr>
        <w:tc>
          <w:tcPr>
            <w:tcW w:w="954" w:type="dxa"/>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w:t>
            </w:r>
          </w:p>
        </w:tc>
        <w:tc>
          <w:tcPr>
            <w:tcW w:w="2835" w:type="dxa"/>
          </w:tcPr>
          <w:p w:rsidR="00B53C0C" w:rsidRPr="00A67753" w:rsidRDefault="00B53C0C" w:rsidP="009600ED">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1929FC">
              <w:rPr>
                <w:rFonts w:ascii="Arial Narrow" w:eastAsia="Times New Roman" w:hAnsi="Arial Narrow"/>
                <w:color w:val="000000"/>
              </w:rPr>
              <w:t>Sistema de monitoramento por alarme - Nova UBS no Distrito Fernando Machado</w:t>
            </w:r>
          </w:p>
        </w:tc>
        <w:tc>
          <w:tcPr>
            <w:tcW w:w="1417" w:type="dxa"/>
          </w:tcPr>
          <w:p w:rsidR="00B53C0C" w:rsidRPr="00A67753" w:rsidRDefault="00B53C0C" w:rsidP="009600ED">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Mensal</w:t>
            </w:r>
          </w:p>
        </w:tc>
        <w:tc>
          <w:tcPr>
            <w:tcW w:w="1276" w:type="dxa"/>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rsidR="00B53C0C" w:rsidRPr="004E634D" w:rsidRDefault="00B53C0C" w:rsidP="009600ED">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R$ 701,37</w:t>
            </w:r>
          </w:p>
        </w:tc>
        <w:tc>
          <w:tcPr>
            <w:tcW w:w="1417" w:type="dxa"/>
          </w:tcPr>
          <w:p w:rsidR="00B53C0C" w:rsidRPr="004E634D" w:rsidRDefault="00B53C0C" w:rsidP="009600ED">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R$ 8.416,40</w:t>
            </w:r>
          </w:p>
        </w:tc>
      </w:tr>
      <w:tr w:rsidR="00B53C0C" w:rsidRPr="00A67753" w:rsidTr="009600ED">
        <w:trPr>
          <w:cantSplit/>
          <w:tblHeader/>
        </w:trPr>
        <w:tc>
          <w:tcPr>
            <w:tcW w:w="954" w:type="dxa"/>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2</w:t>
            </w:r>
          </w:p>
        </w:tc>
        <w:tc>
          <w:tcPr>
            <w:tcW w:w="2835" w:type="dxa"/>
          </w:tcPr>
          <w:p w:rsidR="00B53C0C" w:rsidRPr="00A67753" w:rsidRDefault="00B53C0C" w:rsidP="009600ED">
            <w:pPr>
              <w:pBdr>
                <w:top w:val="nil"/>
                <w:left w:val="nil"/>
                <w:bottom w:val="nil"/>
                <w:right w:val="nil"/>
                <w:between w:val="nil"/>
              </w:pBdr>
              <w:spacing w:after="120" w:line="240" w:lineRule="auto"/>
              <w:rPr>
                <w:rFonts w:ascii="Bookman Old Style" w:eastAsia="Arial" w:hAnsi="Bookman Old Style" w:cs="Arial"/>
                <w:color w:val="000000"/>
                <w:sz w:val="24"/>
                <w:szCs w:val="24"/>
              </w:rPr>
            </w:pPr>
            <w:r w:rsidRPr="001929FC">
              <w:rPr>
                <w:rFonts w:ascii="Arial Narrow" w:eastAsia="Times New Roman" w:hAnsi="Arial Narrow"/>
                <w:color w:val="000000"/>
              </w:rPr>
              <w:t>Sistema de monitoramento por alarme - Nova creche no Bairro Rosa Linda</w:t>
            </w:r>
          </w:p>
        </w:tc>
        <w:tc>
          <w:tcPr>
            <w:tcW w:w="1417" w:type="dxa"/>
          </w:tcPr>
          <w:p w:rsidR="00B53C0C" w:rsidRPr="00A67753" w:rsidRDefault="00B53C0C" w:rsidP="009600ED">
            <w:pPr>
              <w:pBdr>
                <w:top w:val="nil"/>
                <w:left w:val="nil"/>
                <w:bottom w:val="nil"/>
                <w:right w:val="nil"/>
                <w:between w:val="nil"/>
              </w:pBdr>
              <w:spacing w:after="120" w:line="240" w:lineRule="auto"/>
              <w:rPr>
                <w:rFonts w:ascii="Bookman Old Style" w:eastAsia="Arial" w:hAnsi="Bookman Old Style" w:cs="Arial"/>
                <w:color w:val="000000"/>
                <w:sz w:val="24"/>
                <w:szCs w:val="24"/>
              </w:rPr>
            </w:pPr>
            <w:r>
              <w:rPr>
                <w:rFonts w:ascii="Bookman Old Style" w:eastAsia="Arial" w:hAnsi="Bookman Old Style" w:cs="Arial"/>
                <w:color w:val="000000"/>
                <w:sz w:val="24"/>
                <w:szCs w:val="24"/>
              </w:rPr>
              <w:t>Mensal</w:t>
            </w:r>
          </w:p>
        </w:tc>
        <w:tc>
          <w:tcPr>
            <w:tcW w:w="1276" w:type="dxa"/>
          </w:tcPr>
          <w:p w:rsidR="00B53C0C" w:rsidRPr="00A67753" w:rsidRDefault="00B53C0C" w:rsidP="009600ED">
            <w:pPr>
              <w:pBdr>
                <w:top w:val="nil"/>
                <w:left w:val="nil"/>
                <w:bottom w:val="nil"/>
                <w:right w:val="nil"/>
                <w:between w:val="nil"/>
              </w:pBdr>
              <w:spacing w:after="120" w:line="240" w:lineRule="auto"/>
              <w:jc w:val="center"/>
              <w:rPr>
                <w:rFonts w:ascii="Bookman Old Style" w:eastAsia="Arial" w:hAnsi="Bookman Old Style" w:cs="Arial"/>
                <w:color w:val="000000"/>
                <w:sz w:val="24"/>
                <w:szCs w:val="24"/>
              </w:rPr>
            </w:pPr>
            <w:r>
              <w:rPr>
                <w:rFonts w:ascii="Bookman Old Style" w:eastAsia="Arial" w:hAnsi="Bookman Old Style" w:cs="Arial"/>
                <w:color w:val="000000"/>
                <w:sz w:val="24"/>
                <w:szCs w:val="24"/>
              </w:rPr>
              <w:t>12</w:t>
            </w:r>
          </w:p>
        </w:tc>
        <w:tc>
          <w:tcPr>
            <w:tcW w:w="1276" w:type="dxa"/>
          </w:tcPr>
          <w:p w:rsidR="00B53C0C" w:rsidRPr="004E634D" w:rsidRDefault="00B53C0C" w:rsidP="009600ED">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R$ 701,37</w:t>
            </w:r>
          </w:p>
        </w:tc>
        <w:tc>
          <w:tcPr>
            <w:tcW w:w="1417" w:type="dxa"/>
          </w:tcPr>
          <w:p w:rsidR="00B53C0C" w:rsidRPr="004E634D" w:rsidRDefault="00B53C0C" w:rsidP="009600ED">
            <w:pPr>
              <w:pBdr>
                <w:top w:val="nil"/>
                <w:left w:val="nil"/>
                <w:bottom w:val="nil"/>
                <w:right w:val="nil"/>
                <w:between w:val="nil"/>
              </w:pBdr>
              <w:spacing w:after="120" w:line="240" w:lineRule="auto"/>
              <w:rPr>
                <w:rFonts w:ascii="Arial Nova Cond Light" w:eastAsia="Arial" w:hAnsi="Arial Nova Cond Light" w:cs="Arial"/>
                <w:color w:val="000000"/>
                <w:sz w:val="24"/>
                <w:szCs w:val="24"/>
              </w:rPr>
            </w:pPr>
            <w:r w:rsidRPr="004E634D">
              <w:rPr>
                <w:rFonts w:ascii="Arial Nova Cond Light" w:eastAsia="Arial" w:hAnsi="Arial Nova Cond Light" w:cs="Arial"/>
                <w:color w:val="000000"/>
                <w:sz w:val="24"/>
                <w:szCs w:val="24"/>
              </w:rPr>
              <w:t>R$ 8.416,40</w:t>
            </w:r>
          </w:p>
        </w:tc>
      </w:tr>
      <w:tr w:rsidR="00B53C0C" w:rsidRPr="00A67753" w:rsidTr="009600ED">
        <w:trPr>
          <w:cantSplit/>
          <w:tblHeader/>
        </w:trPr>
        <w:tc>
          <w:tcPr>
            <w:tcW w:w="6482" w:type="dxa"/>
            <w:gridSpan w:val="4"/>
          </w:tcPr>
          <w:p w:rsidR="00B53C0C" w:rsidRPr="00A67753" w:rsidRDefault="00B53C0C" w:rsidP="009600ED">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TOTAIS (R$)</w:t>
            </w:r>
          </w:p>
        </w:tc>
        <w:tc>
          <w:tcPr>
            <w:tcW w:w="1276" w:type="dxa"/>
          </w:tcPr>
          <w:p w:rsidR="00B53C0C" w:rsidRPr="00A67753" w:rsidRDefault="00B53C0C" w:rsidP="009600ED">
            <w:pPr>
              <w:pBdr>
                <w:top w:val="nil"/>
                <w:left w:val="nil"/>
                <w:bottom w:val="nil"/>
                <w:right w:val="nil"/>
                <w:between w:val="nil"/>
              </w:pBdr>
              <w:spacing w:after="120" w:line="240" w:lineRule="auto"/>
              <w:rPr>
                <w:rFonts w:ascii="Bookman Old Style" w:eastAsia="Arial" w:hAnsi="Bookman Old Style" w:cs="Arial"/>
                <w:color w:val="000000"/>
                <w:sz w:val="24"/>
                <w:szCs w:val="24"/>
              </w:rPr>
            </w:pPr>
          </w:p>
        </w:tc>
        <w:tc>
          <w:tcPr>
            <w:tcW w:w="1417" w:type="dxa"/>
          </w:tcPr>
          <w:p w:rsidR="00B53C0C" w:rsidRPr="004E634D" w:rsidRDefault="00B53C0C" w:rsidP="009600ED">
            <w:pPr>
              <w:pBdr>
                <w:top w:val="nil"/>
                <w:left w:val="nil"/>
                <w:bottom w:val="nil"/>
                <w:right w:val="nil"/>
                <w:between w:val="nil"/>
              </w:pBdr>
              <w:spacing w:after="120" w:line="240" w:lineRule="auto"/>
              <w:rPr>
                <w:rFonts w:ascii="Arial Nova Cond Light" w:eastAsia="Arial" w:hAnsi="Arial Nova Cond Light" w:cs="Arial"/>
                <w:b/>
                <w:bCs/>
                <w:color w:val="000000"/>
                <w:sz w:val="24"/>
                <w:szCs w:val="24"/>
              </w:rPr>
            </w:pPr>
            <w:r w:rsidRPr="004E634D">
              <w:rPr>
                <w:rFonts w:ascii="Arial Nova Cond Light" w:eastAsia="Arial" w:hAnsi="Arial Nova Cond Light" w:cs="Arial"/>
                <w:b/>
                <w:bCs/>
                <w:color w:val="000000"/>
                <w:sz w:val="24"/>
                <w:szCs w:val="24"/>
              </w:rPr>
              <w:t>R$ 16.832,80</w:t>
            </w:r>
          </w:p>
        </w:tc>
      </w:tr>
    </w:tbl>
    <w:p w:rsidR="00B53C0C" w:rsidRPr="00A67753" w:rsidRDefault="00B53C0C" w:rsidP="00B53C0C">
      <w:pPr>
        <w:numPr>
          <w:ilvl w:val="1"/>
          <w:numId w:val="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Natureza do Objeto:</w:t>
      </w:r>
    </w:p>
    <w:p w:rsidR="00B53C0C" w:rsidRPr="00A67753" w:rsidRDefault="00B53C0C" w:rsidP="00B53C0C">
      <w:pPr>
        <w:numPr>
          <w:ilvl w:val="2"/>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bens objeto desta contratação são caracterizados como comuns, conforme justificativa descrita no Estudo Técnico Preliminar.</w:t>
      </w:r>
    </w:p>
    <w:p w:rsidR="00B53C0C" w:rsidRPr="00A67753" w:rsidRDefault="00B53C0C" w:rsidP="00B53C0C">
      <w:pPr>
        <w:numPr>
          <w:ilvl w:val="1"/>
          <w:numId w:val="9"/>
        </w:numPr>
        <w:pBdr>
          <w:top w:val="nil"/>
          <w:left w:val="nil"/>
          <w:bottom w:val="nil"/>
          <w:right w:val="nil"/>
          <w:between w:val="nil"/>
        </w:pBdr>
        <w:spacing w:after="120" w:line="240" w:lineRule="auto"/>
        <w:ind w:left="0" w:firstLine="0"/>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Contratação e índice de reajustamento:</w:t>
      </w:r>
    </w:p>
    <w:p w:rsidR="00B53C0C" w:rsidRDefault="00B53C0C" w:rsidP="00B53C0C">
      <w:pPr>
        <w:numPr>
          <w:ilvl w:val="2"/>
          <w:numId w:val="9"/>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 xml:space="preserve">Prazo de vigência da contratação é de 12 (doze) meses contado(s) da data de assinatura do contrato na forma do artigo 105 da Lei </w:t>
      </w:r>
      <w:proofErr w:type="spellStart"/>
      <w:r>
        <w:rPr>
          <w:rFonts w:ascii="Bookman Old Style" w:eastAsia="Arial" w:hAnsi="Bookman Old Style" w:cs="Arial"/>
          <w:i/>
          <w:color w:val="000000"/>
          <w:sz w:val="24"/>
          <w:szCs w:val="24"/>
        </w:rPr>
        <w:t>n.°</w:t>
      </w:r>
      <w:proofErr w:type="spellEnd"/>
      <w:r>
        <w:rPr>
          <w:rFonts w:ascii="Bookman Old Style" w:eastAsia="Arial" w:hAnsi="Bookman Old Style" w:cs="Arial"/>
          <w:i/>
          <w:color w:val="000000"/>
          <w:sz w:val="24"/>
          <w:szCs w:val="24"/>
        </w:rPr>
        <w:t xml:space="preserve"> 14.133, de 2021, </w:t>
      </w:r>
      <w:r w:rsidRPr="00EF0EB6">
        <w:rPr>
          <w:rFonts w:ascii="Bookman Old Style" w:eastAsia="Arial" w:hAnsi="Bookman Old Style" w:cs="Arial"/>
          <w:i/>
          <w:color w:val="000000"/>
          <w:sz w:val="24"/>
          <w:szCs w:val="24"/>
        </w:rPr>
        <w:t>passível de prorrogação.</w:t>
      </w:r>
    </w:p>
    <w:p w:rsidR="00B53C0C" w:rsidRPr="00A67753" w:rsidRDefault="00B53C0C" w:rsidP="00B53C0C">
      <w:pPr>
        <w:numPr>
          <w:ilvl w:val="2"/>
          <w:numId w:val="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Os valores estimados nesta contratação poderão ser reajustados, para mais ou menos, de acordo com </w:t>
      </w:r>
      <w:r w:rsidRPr="00A67753">
        <w:rPr>
          <w:rFonts w:ascii="Bookman Old Style" w:eastAsia="Arial" w:hAnsi="Bookman Old Style" w:cs="Arial"/>
          <w:sz w:val="24"/>
          <w:szCs w:val="24"/>
        </w:rPr>
        <w:t xml:space="preserve">o </w:t>
      </w:r>
      <w:r w:rsidRPr="00A67753">
        <w:rPr>
          <w:rFonts w:ascii="Bookman Old Style" w:eastAsia="Arial" w:hAnsi="Bookman Old Style" w:cs="Arial"/>
          <w:color w:val="000000"/>
          <w:sz w:val="24"/>
          <w:szCs w:val="24"/>
        </w:rPr>
        <w:t>IPCA, divulgado pelo IBGE, ou pelo índice que venha a substituí-lo, nos termos fixados em Lei.</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JUSTIFICATIVA E DESCRIÇÃO DA NECESSIDADE DA CONTRATAÇÃO</w:t>
      </w:r>
    </w:p>
    <w:p w:rsidR="00B53C0C" w:rsidRPr="00A67753" w:rsidRDefault="00B53C0C" w:rsidP="00B53C0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B53C0C" w:rsidRPr="00A67753" w:rsidRDefault="00B53C0C" w:rsidP="00B53C0C">
      <w:pPr>
        <w:numPr>
          <w:ilvl w:val="1"/>
          <w:numId w:val="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Fundamentação da </w:t>
      </w:r>
      <w:r w:rsidRPr="00A67753">
        <w:rPr>
          <w:rFonts w:ascii="Bookman Old Style" w:eastAsia="Arial" w:hAnsi="Bookman Old Style" w:cs="Arial"/>
          <w:sz w:val="24"/>
          <w:szCs w:val="24"/>
        </w:rPr>
        <w:t>c</w:t>
      </w:r>
      <w:r w:rsidRPr="00A67753">
        <w:rPr>
          <w:rFonts w:ascii="Bookman Old Style" w:eastAsia="Arial" w:hAnsi="Bookman Old Style" w:cs="Arial"/>
          <w:color w:val="000000"/>
          <w:sz w:val="24"/>
          <w:szCs w:val="24"/>
        </w:rPr>
        <w:t>ontratação encontra-se pormenorizada nos Estudos Técnicos Preliminares, apêndice deste Termo de Referência.</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DESCRIÇÃO DA SOLUÇÃO, CONSIDERANDO TODO O CICLO DE VIDA DO OBJETO</w:t>
      </w:r>
    </w:p>
    <w:p w:rsidR="00B53C0C" w:rsidRPr="00A67753" w:rsidRDefault="00B53C0C" w:rsidP="00B53C0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B53C0C" w:rsidRPr="00A67753" w:rsidRDefault="00B53C0C" w:rsidP="00B53C0C">
      <w:pPr>
        <w:numPr>
          <w:ilvl w:val="1"/>
          <w:numId w:val="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A descrição da solução como um todo se encontra pormenorizada nos Estudos Técnicos Preliminares, apêndice deste Termo de Referência.</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REQUISITOS DA CONTRATAÇÃO</w:t>
      </w:r>
    </w:p>
    <w:p w:rsidR="00B53C0C" w:rsidRPr="00A67753" w:rsidRDefault="00B53C0C" w:rsidP="00B53C0C">
      <w:pPr>
        <w:keepNext/>
        <w:keepLines/>
        <w:pBdr>
          <w:top w:val="nil"/>
          <w:left w:val="nil"/>
          <w:bottom w:val="nil"/>
          <w:right w:val="nil"/>
          <w:between w:val="nil"/>
        </w:pBdr>
        <w:spacing w:after="0" w:line="240" w:lineRule="auto"/>
        <w:rPr>
          <w:rFonts w:ascii="Bookman Old Style" w:eastAsia="Arial" w:hAnsi="Bookman Old Style" w:cs="Arial"/>
          <w:b/>
          <w:color w:val="000000"/>
          <w:sz w:val="24"/>
          <w:szCs w:val="24"/>
        </w:rPr>
      </w:pPr>
    </w:p>
    <w:p w:rsidR="00B53C0C" w:rsidRPr="00A67753" w:rsidRDefault="00B53C0C" w:rsidP="00B53C0C">
      <w:pPr>
        <w:numPr>
          <w:ilvl w:val="1"/>
          <w:numId w:val="10"/>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Amostra</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serão exigidas amostras.</w:t>
      </w:r>
    </w:p>
    <w:p w:rsidR="00B53C0C" w:rsidRDefault="00B53C0C" w:rsidP="00B53C0C">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Subcontratação</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Não será admitida a subcontratação do objeto contratual, para a parte de instalação e monitoramento. Só será permitida a terceirização apenas para assistência técnica dos equipamentos e vistoria no local em caso de disparo de alarme, a qual, neste caso, havendo terceirização, a Contratada deverá informar previamente a empresa que será terceirizada a este fim, e esta, deverá comparecer ao local uniformizada e cumprir todos os requisitos do objeto desta licitação.</w:t>
      </w:r>
    </w:p>
    <w:p w:rsidR="00B53C0C" w:rsidRPr="00A67753" w:rsidRDefault="00B53C0C" w:rsidP="00B53C0C">
      <w:pPr>
        <w:numPr>
          <w:ilvl w:val="1"/>
          <w:numId w:val="1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Garantia da Contratação</w:t>
      </w:r>
    </w:p>
    <w:p w:rsidR="00B53C0C" w:rsidRPr="00EF0EB6"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EF0EB6">
        <w:rPr>
          <w:rFonts w:ascii="Bookman Old Style" w:eastAsia="Arial" w:hAnsi="Bookman Old Style" w:cs="Arial"/>
          <w:i/>
          <w:color w:val="000000"/>
          <w:sz w:val="24"/>
          <w:szCs w:val="24"/>
        </w:rPr>
        <w:t>Não será exigida garantia para este objeto.</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Prestação de serviços de instalação a título de comodato do conjunto de equipamentos necessários e suficientes para o funcionamento de um sistema de Monitoramento eletrônico de alarmes para monitoramento remoto, conforme especificações e níveis de serviço estabelecidos, visando a efetiva cobertura das áreas que integram o escopo da contratação. A prestação deste serviço será realizada por meio de comodato (conforme artigo 579 do código civil) de equipamentos de sistema de alarmes incluindo: instalação de toda a infraestrutura eventualmente necessária, instalação dos equipamentos e sistemas propriamente ditos e a manutenção preventiva e corretiva (sempre que se fizer necessário) sem ônus para o município</w:t>
      </w:r>
      <w:r w:rsidRPr="00547650">
        <w:rPr>
          <w:rFonts w:ascii="Bookman Old Style" w:hAnsi="Bookman Old Style"/>
          <w:sz w:val="24"/>
          <w:szCs w:val="24"/>
        </w:rPr>
        <w:t xml:space="preserve">; </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 xml:space="preserve">Prestação de serviços de vistoria técnica de segurança de pronta resposta das áreas que integram o escopo da contratação, a partir de comunicados de ocorrências constatadas por uma central de monitoramento remoto de sistemas de Monitoramento eletrônico, incluindo o fornecimento de veículos, equipamentos de comunicação e outros equipamentos peculiares à execução do serviço, necessários para locomoção até o local do disparo do alarme, para comunicação com a central e para atingir os níveis de serviço estabelecidos. Refere-se ao serviço envio de profissional Técnico de Vistoria ao local protegido em casos de disparo de alarme, caso a ocorrência não venha a ser esclarecida por outros meios; </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A central de alarme instalada deverá permitir a programação de senha individualizadas além de possibilitar o registro eletrônico de todas as operações efetuadas pelos usuários registrados, tais como acionamento e desativação do sistema, devendo ainda, emitir sinal de disparo do alarme para as sirenes e para a unidade de operação;</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cs="Arial"/>
          <w:bCs/>
          <w:sz w:val="24"/>
          <w:szCs w:val="24"/>
        </w:rPr>
        <w:t>O sistema compartilhado de monitoramento e de gerenciamento deverá ser operado por pessoal especializado, devendo funcionar no prédio da empresa a ser contratada, o qual deverá atender as exigências mínimas de segurança dos dados e das instalações;</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lastRenderedPageBreak/>
        <w:t>Manter em funcionamento contínuo, todos os serviços contratados;</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Em todos os locais, deve haver uma programação automática para que os alarmes sejam acionados automaticamente em horários que não haja funcionamento de trabalho (como por exemplo à noite, finais de semana e outros);</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Os equipamentos deverão conter sensores instalados em todas as portas de cada local</w:t>
      </w:r>
      <w:r>
        <w:rPr>
          <w:rFonts w:ascii="Bookman Old Style" w:hAnsi="Bookman Old Style"/>
          <w:sz w:val="24"/>
          <w:szCs w:val="24"/>
        </w:rPr>
        <w:t>,</w:t>
      </w:r>
      <w:r w:rsidRPr="00547650">
        <w:rPr>
          <w:rFonts w:ascii="Bookman Old Style" w:hAnsi="Bookman Old Style"/>
          <w:sz w:val="24"/>
          <w:szCs w:val="24"/>
        </w:rPr>
        <w:t xml:space="preserve"> bem como em todas as janelas cujos vidros, se quebrados possibilitem a passagem de uma pessoa</w:t>
      </w:r>
      <w:r>
        <w:rPr>
          <w:rFonts w:ascii="Bookman Old Style" w:hAnsi="Bookman Old Style"/>
          <w:sz w:val="24"/>
          <w:szCs w:val="24"/>
        </w:rPr>
        <w:t xml:space="preserve">; </w:t>
      </w:r>
      <w:proofErr w:type="gramStart"/>
      <w:r>
        <w:rPr>
          <w:rFonts w:ascii="Bookman Old Style" w:hAnsi="Bookman Old Style"/>
          <w:sz w:val="24"/>
          <w:szCs w:val="24"/>
        </w:rPr>
        <w:t>Deverá</w:t>
      </w:r>
      <w:proofErr w:type="gramEnd"/>
      <w:r>
        <w:rPr>
          <w:rFonts w:ascii="Bookman Old Style" w:hAnsi="Bookman Old Style"/>
          <w:sz w:val="24"/>
          <w:szCs w:val="24"/>
        </w:rPr>
        <w:t xml:space="preserve"> haver sensores também</w:t>
      </w:r>
      <w:r w:rsidRPr="00547650">
        <w:rPr>
          <w:rFonts w:ascii="Bookman Old Style" w:hAnsi="Bookman Old Style"/>
          <w:sz w:val="24"/>
          <w:szCs w:val="24"/>
        </w:rPr>
        <w:t xml:space="preserve"> em pontos estratégicos de circulação de pessoas, tais como corredores e outros;</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Deverão ser instaladas sirenes em pontos estratégicos que permitam a audição externa nas proximidades, em caso de acionamento.;</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 xml:space="preserve">Em caso de disparo de alarme, também deverá enviar um comunicado instantâneo ao celular do fiscal de contrato do referido local, que é responsável por ajudar a preservar o patrimônio público e auxiliará nas ações a serem tomadas; </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Em caso de disparo de alarme, um profissional da Contratada, deverá ir até o local em no máximo 30 (trinta) minutos, verificar a origem do disparo do alarme, desligar o mesmo e informar o fiscal de contrato do local o motivo da ocorrência e as tratativas tomadas para a solução, devendo permanecer no local até a chegada do fiscal do contrato, em caso de ocorrência de furtos ou danos ao patrimônio.</w:t>
      </w:r>
    </w:p>
    <w:p w:rsidR="00B53C0C"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Sendo constatado alarme desligado em horário que não há funcionamento de atividades no local (como a noite, finais de semana, feriados e outros), a Contratada deverá entrar em contato com responsável pelo local de modo a verificar se há alguma atividade extra, a qual o alarme foi desligado, ou se há falta de energia elétrica ou outro meio que o tenha desligado. Não havendo explicação, um profissional especializado da Contratada deverá se deslocar até o local para verificação;</w:t>
      </w:r>
    </w:p>
    <w:p w:rsidR="00B53C0C" w:rsidRPr="006731CE" w:rsidRDefault="00B53C0C" w:rsidP="00B53C0C">
      <w:pPr>
        <w:numPr>
          <w:ilvl w:val="2"/>
          <w:numId w:val="10"/>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547650">
        <w:rPr>
          <w:rFonts w:ascii="Bookman Old Style" w:hAnsi="Bookman Old Style"/>
          <w:sz w:val="24"/>
          <w:szCs w:val="24"/>
        </w:rPr>
        <w:t>Sempre que houver necessidade de atendimento presencial (seja para instalação, manutenção, verificar disparo de alarmes ou outros motivos, o profissional deverá estar com uniforme da empresa, identificação e, se for necessário, utilizando EPIs.</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i/>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EXECUÇÃO DO OBJETO</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1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Condições, prazos e local de Entrega</w:t>
      </w:r>
    </w:p>
    <w:p w:rsidR="00B53C0C" w:rsidRDefault="00B53C0C" w:rsidP="00B53C0C">
      <w:pPr>
        <w:numPr>
          <w:ilvl w:val="2"/>
          <w:numId w:val="12"/>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O prazo de entrega dos bens é de instalação de início do monitoramento é de até 7 (sete) dias corridos, contados da data de recebimento da autorização de fornecimento.</w:t>
      </w:r>
    </w:p>
    <w:p w:rsidR="00B53C0C" w:rsidRDefault="00B53C0C" w:rsidP="00B53C0C">
      <w:pPr>
        <w:numPr>
          <w:ilvl w:val="2"/>
          <w:numId w:val="12"/>
        </w:numPr>
        <w:pBdr>
          <w:top w:val="nil"/>
          <w:left w:val="nil"/>
          <w:bottom w:val="nil"/>
          <w:right w:val="nil"/>
          <w:between w:val="nil"/>
        </w:pBdr>
        <w:spacing w:after="120" w:line="240" w:lineRule="auto"/>
        <w:ind w:left="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Os </w:t>
      </w:r>
      <w:r>
        <w:rPr>
          <w:rFonts w:ascii="Bookman Old Style" w:eastAsia="Arial" w:hAnsi="Bookman Old Style" w:cs="Arial"/>
          <w:i/>
          <w:sz w:val="24"/>
          <w:szCs w:val="24"/>
        </w:rPr>
        <w:t>serviços</w:t>
      </w:r>
      <w:r w:rsidRPr="00A67753">
        <w:rPr>
          <w:rFonts w:ascii="Bookman Old Style" w:eastAsia="Arial" w:hAnsi="Bookman Old Style" w:cs="Arial"/>
          <w:i/>
          <w:sz w:val="24"/>
          <w:szCs w:val="24"/>
        </w:rPr>
        <w:t xml:space="preserve"> deverão ser </w:t>
      </w:r>
      <w:r>
        <w:rPr>
          <w:rFonts w:ascii="Bookman Old Style" w:eastAsia="Arial" w:hAnsi="Bookman Old Style" w:cs="Arial"/>
          <w:i/>
          <w:sz w:val="24"/>
          <w:szCs w:val="24"/>
        </w:rPr>
        <w:t>realizados</w:t>
      </w:r>
      <w:r w:rsidRPr="00A67753">
        <w:rPr>
          <w:rFonts w:ascii="Bookman Old Style" w:eastAsia="Arial" w:hAnsi="Bookman Old Style" w:cs="Arial"/>
          <w:i/>
          <w:sz w:val="24"/>
          <w:szCs w:val="24"/>
        </w:rPr>
        <w:t xml:space="preserve"> no</w:t>
      </w:r>
      <w:r>
        <w:rPr>
          <w:rFonts w:ascii="Bookman Old Style" w:eastAsia="Arial" w:hAnsi="Bookman Old Style" w:cs="Arial"/>
          <w:i/>
          <w:sz w:val="24"/>
          <w:szCs w:val="24"/>
        </w:rPr>
        <w:t>s</w:t>
      </w:r>
      <w:r w:rsidRPr="00A67753">
        <w:rPr>
          <w:rFonts w:ascii="Bookman Old Style" w:eastAsia="Arial" w:hAnsi="Bookman Old Style" w:cs="Arial"/>
          <w:i/>
          <w:sz w:val="24"/>
          <w:szCs w:val="24"/>
        </w:rPr>
        <w:t xml:space="preserve"> seguinte</w:t>
      </w:r>
      <w:r>
        <w:rPr>
          <w:rFonts w:ascii="Bookman Old Style" w:eastAsia="Arial" w:hAnsi="Bookman Old Style" w:cs="Arial"/>
          <w:i/>
          <w:sz w:val="24"/>
          <w:szCs w:val="24"/>
        </w:rPr>
        <w:t>s</w:t>
      </w:r>
      <w:r w:rsidRPr="00A67753">
        <w:rPr>
          <w:rFonts w:ascii="Bookman Old Style" w:eastAsia="Arial" w:hAnsi="Bookman Old Style" w:cs="Arial"/>
          <w:i/>
          <w:sz w:val="24"/>
          <w:szCs w:val="24"/>
        </w:rPr>
        <w:t xml:space="preserve"> endereço</w:t>
      </w:r>
      <w:r>
        <w:rPr>
          <w:rFonts w:ascii="Bookman Old Style" w:eastAsia="Arial" w:hAnsi="Bookman Old Style" w:cs="Arial"/>
          <w:i/>
          <w:sz w:val="24"/>
          <w:szCs w:val="24"/>
        </w:rPr>
        <w:t>s</w:t>
      </w:r>
      <w:r w:rsidRPr="00A67753">
        <w:rPr>
          <w:rFonts w:ascii="Bookman Old Style" w:eastAsia="Arial" w:hAnsi="Bookman Old Style" w:cs="Arial"/>
          <w:i/>
          <w:sz w:val="24"/>
          <w:szCs w:val="24"/>
        </w:rPr>
        <w:t>:</w:t>
      </w:r>
    </w:p>
    <w:p w:rsidR="00B53C0C" w:rsidRDefault="00B53C0C" w:rsidP="00B53C0C">
      <w:pPr>
        <w:numPr>
          <w:ilvl w:val="3"/>
          <w:numId w:val="12"/>
        </w:numPr>
        <w:pBdr>
          <w:top w:val="nil"/>
          <w:left w:val="nil"/>
          <w:bottom w:val="nil"/>
          <w:right w:val="nil"/>
          <w:between w:val="nil"/>
        </w:pBdr>
        <w:spacing w:after="120" w:line="240" w:lineRule="auto"/>
        <w:ind w:left="709"/>
        <w:jc w:val="both"/>
        <w:rPr>
          <w:rFonts w:ascii="Bookman Old Style" w:eastAsia="Arial" w:hAnsi="Bookman Old Style" w:cs="Arial"/>
          <w:i/>
          <w:sz w:val="24"/>
          <w:szCs w:val="24"/>
        </w:rPr>
      </w:pPr>
      <w:r>
        <w:rPr>
          <w:rFonts w:ascii="Bookman Old Style" w:eastAsia="Arial" w:hAnsi="Bookman Old Style" w:cs="Arial"/>
          <w:i/>
          <w:sz w:val="24"/>
          <w:szCs w:val="24"/>
        </w:rPr>
        <w:t xml:space="preserve">Creche: Rua Alberto </w:t>
      </w:r>
      <w:proofErr w:type="spellStart"/>
      <w:r>
        <w:rPr>
          <w:rFonts w:ascii="Bookman Old Style" w:eastAsia="Arial" w:hAnsi="Bookman Old Style" w:cs="Arial"/>
          <w:i/>
          <w:sz w:val="24"/>
          <w:szCs w:val="24"/>
        </w:rPr>
        <w:t>Maggioni</w:t>
      </w:r>
      <w:proofErr w:type="spellEnd"/>
      <w:r>
        <w:rPr>
          <w:rFonts w:ascii="Bookman Old Style" w:eastAsia="Arial" w:hAnsi="Bookman Old Style" w:cs="Arial"/>
          <w:i/>
          <w:sz w:val="24"/>
          <w:szCs w:val="24"/>
        </w:rPr>
        <w:t xml:space="preserve"> s/n, ao lado do Ginásio e Escola Municipal Mediação, bairro Rosa Linda, Cordilheira Alta SC;</w:t>
      </w:r>
    </w:p>
    <w:p w:rsidR="00B53C0C" w:rsidRPr="00A67753" w:rsidRDefault="00B53C0C" w:rsidP="00B53C0C">
      <w:pPr>
        <w:numPr>
          <w:ilvl w:val="3"/>
          <w:numId w:val="12"/>
        </w:numPr>
        <w:pBdr>
          <w:top w:val="nil"/>
          <w:left w:val="nil"/>
          <w:bottom w:val="nil"/>
          <w:right w:val="nil"/>
          <w:between w:val="nil"/>
        </w:pBdr>
        <w:spacing w:after="120" w:line="240" w:lineRule="auto"/>
        <w:ind w:left="709"/>
        <w:jc w:val="both"/>
        <w:rPr>
          <w:rFonts w:ascii="Bookman Old Style" w:eastAsia="Arial" w:hAnsi="Bookman Old Style" w:cs="Arial"/>
          <w:i/>
          <w:sz w:val="24"/>
          <w:szCs w:val="24"/>
        </w:rPr>
      </w:pPr>
      <w:r>
        <w:rPr>
          <w:rFonts w:ascii="Bookman Old Style" w:eastAsia="Arial" w:hAnsi="Bookman Old Style" w:cs="Arial"/>
          <w:i/>
          <w:sz w:val="24"/>
          <w:szCs w:val="24"/>
        </w:rPr>
        <w:lastRenderedPageBreak/>
        <w:t>Unidade Básica de Saúde: Rua Sete de Setembro S/N., ao lado do Campo do Palmeiras, Centro, Distrito Fernando Machado, Cordilheira Alta SC</w:t>
      </w:r>
      <w:r w:rsidRPr="00A67753">
        <w:rPr>
          <w:rFonts w:ascii="Bookman Old Style" w:eastAsia="Arial" w:hAnsi="Bookman Old Style" w:cs="Arial"/>
          <w:i/>
          <w:sz w:val="24"/>
          <w:szCs w:val="24"/>
        </w:rPr>
        <w:t xml:space="preserve"> </w:t>
      </w:r>
    </w:p>
    <w:p w:rsidR="00B53C0C" w:rsidRPr="006B5710" w:rsidRDefault="00B53C0C" w:rsidP="00B53C0C">
      <w:pPr>
        <w:numPr>
          <w:ilvl w:val="1"/>
          <w:numId w:val="1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proofErr w:type="gramStart"/>
      <w:r w:rsidRPr="006B5710">
        <w:rPr>
          <w:rFonts w:ascii="Bookman Old Style" w:eastAsia="Arial" w:hAnsi="Bookman Old Style" w:cs="Arial"/>
          <w:color w:val="000000"/>
          <w:sz w:val="24"/>
          <w:szCs w:val="24"/>
        </w:rPr>
        <w:t>Garantia, Manutenção e Assistência Técnica</w:t>
      </w:r>
      <w:proofErr w:type="gramEnd"/>
      <w:r w:rsidRPr="006B5710">
        <w:rPr>
          <w:rFonts w:ascii="Bookman Old Style" w:eastAsia="Arial" w:hAnsi="Bookman Old Style" w:cs="Arial"/>
          <w:color w:val="000000"/>
          <w:sz w:val="24"/>
          <w:szCs w:val="24"/>
        </w:rPr>
        <w:t>.</w:t>
      </w:r>
    </w:p>
    <w:p w:rsidR="00B53C0C" w:rsidRDefault="00B53C0C" w:rsidP="00B53C0C">
      <w:pPr>
        <w:numPr>
          <w:ilvl w:val="2"/>
          <w:numId w:val="12"/>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O prazo de garantia é aquele estabelecido na Lei n.º 8.078, de 11 de setembro de 1990 (Código de Defesa do Consumidor)</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MODELO DE GESTÃO DO CONTRATO</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rsidR="00B53C0C" w:rsidRPr="00A67753" w:rsidRDefault="00B53C0C" w:rsidP="00B53C0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Em caso de impedimento, ordem de paralisação ou suspensão do contrato ou instrumento equivalente, o cronograma de execução será prorrogado automaticamente pelo tempo correspondente, anotadas </w:t>
      </w:r>
      <w:proofErr w:type="gramStart"/>
      <w:r w:rsidRPr="00A67753">
        <w:rPr>
          <w:rFonts w:ascii="Bookman Old Style" w:eastAsia="Arial" w:hAnsi="Bookman Old Style" w:cs="Arial"/>
          <w:color w:val="000000"/>
          <w:sz w:val="24"/>
          <w:szCs w:val="24"/>
        </w:rPr>
        <w:t>tais circunstâncias mediante</w:t>
      </w:r>
      <w:proofErr w:type="gramEnd"/>
      <w:r w:rsidRPr="00A67753">
        <w:rPr>
          <w:rFonts w:ascii="Bookman Old Style" w:eastAsia="Arial" w:hAnsi="Bookman Old Style" w:cs="Arial"/>
          <w:color w:val="000000"/>
          <w:sz w:val="24"/>
          <w:szCs w:val="24"/>
        </w:rPr>
        <w:t xml:space="preserve"> simples apostila.</w:t>
      </w:r>
    </w:p>
    <w:p w:rsidR="00B53C0C" w:rsidRPr="00A67753" w:rsidRDefault="00B53C0C" w:rsidP="00B53C0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rsidR="00B53C0C" w:rsidRPr="00A67753" w:rsidRDefault="00B53C0C" w:rsidP="00B53C0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rsidR="00B53C0C" w:rsidRPr="00A67753" w:rsidRDefault="00B53C0C" w:rsidP="00B53C0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B53C0C" w:rsidRPr="00A67753" w:rsidRDefault="00B53C0C" w:rsidP="00B53C0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rsidR="00B53C0C" w:rsidRPr="00A67753" w:rsidRDefault="00B53C0C" w:rsidP="00B53C0C">
      <w:pPr>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execução do contrato deverá ser acompanhada e fiscalizada pelo(s) fiscal(</w:t>
      </w:r>
      <w:proofErr w:type="spellStart"/>
      <w:r w:rsidRPr="00A67753">
        <w:rPr>
          <w:rFonts w:ascii="Bookman Old Style" w:eastAsia="Arial" w:hAnsi="Bookman Old Style" w:cs="Arial"/>
          <w:color w:val="000000"/>
          <w:sz w:val="24"/>
          <w:szCs w:val="24"/>
        </w:rPr>
        <w:t>is</w:t>
      </w:r>
      <w:proofErr w:type="spellEnd"/>
      <w:r w:rsidRPr="00A67753">
        <w:rPr>
          <w:rFonts w:ascii="Bookman Old Style" w:eastAsia="Arial" w:hAnsi="Bookman Old Style" w:cs="Arial"/>
          <w:color w:val="000000"/>
          <w:sz w:val="24"/>
          <w:szCs w:val="24"/>
        </w:rPr>
        <w:t>) do contrato</w:t>
      </w:r>
      <w:r>
        <w:rPr>
          <w:rFonts w:ascii="Bookman Old Style" w:eastAsia="Arial" w:hAnsi="Bookman Old Style" w:cs="Arial"/>
          <w:color w:val="000000"/>
          <w:sz w:val="24"/>
          <w:szCs w:val="24"/>
        </w:rPr>
        <w:t>: Ana Eliza Tauchert, Secretária de Educação, matrícula 13457/6 e Flavia Cortes Garcia, Secretária de Saúde, Matrícula 3436/5</w:t>
      </w:r>
      <w:r w:rsidRPr="00A67753">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 xml:space="preserve">A e </w:t>
      </w:r>
      <w:r w:rsidRPr="008B3746">
        <w:rPr>
          <w:rFonts w:ascii="Bookman Old Style" w:eastAsia="Arial" w:hAnsi="Bookman Old Style" w:cs="Arial"/>
          <w:color w:val="000000"/>
          <w:sz w:val="24"/>
          <w:szCs w:val="24"/>
        </w:rPr>
        <w:t>a gestão do contrato caberá a servidora Angelita Gabriel,</w:t>
      </w:r>
      <w:r>
        <w:rPr>
          <w:rFonts w:ascii="Bookman Old Style" w:eastAsia="Arial" w:hAnsi="Bookman Old Style" w:cs="Arial"/>
          <w:color w:val="000000"/>
          <w:sz w:val="24"/>
          <w:szCs w:val="24"/>
        </w:rPr>
        <w:t xml:space="preserve"> </w:t>
      </w:r>
      <w:r w:rsidRPr="00A67753">
        <w:rPr>
          <w:rFonts w:ascii="Bookman Old Style" w:eastAsia="Arial" w:hAnsi="Bookman Old Style" w:cs="Arial"/>
          <w:color w:val="000000"/>
          <w:sz w:val="24"/>
          <w:szCs w:val="24"/>
        </w:rPr>
        <w:t>ou pelos respectivos substitutos (Lei n.º 14.133, de 2021, art. 117, caput).</w:t>
      </w:r>
    </w:p>
    <w:p w:rsidR="00B53C0C" w:rsidRPr="00A67753" w:rsidRDefault="00B53C0C" w:rsidP="00B53C0C">
      <w:pPr>
        <w:numPr>
          <w:ilvl w:val="2"/>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fiscal do contrato:</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a execução do contrato para que sejam cumpridas todas as condições estabelecidas no contrato, de modo a assegurar os melhores resultados para a Administração;</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anotar no histórico de gerenciamento do contrato todas as ocorrências relacionadas à execução do contrato, com a descrição do que for necessário para a regularização das faltas ou dos defeitos observados;</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 xml:space="preserve">Identificada qualquer inexatidão ou irregularidade, emitir notificações para a correção da execução do contrato, determinando prazo para a correção; </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ao gestor do contrato, em tempo hábil, o término do contrato sob sua responsabilidade, com vistas à renovação tempestiva ou à prorrogação contratual;</w:t>
      </w:r>
    </w:p>
    <w:p w:rsidR="00B53C0C" w:rsidRPr="00A67753" w:rsidRDefault="00B53C0C" w:rsidP="00B53C0C">
      <w:pPr>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B53C0C" w:rsidRPr="00A67753" w:rsidRDefault="00B53C0C" w:rsidP="00B53C0C">
      <w:pPr>
        <w:numPr>
          <w:ilvl w:val="2"/>
          <w:numId w:val="25"/>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os registros realizados pelo fiscal do contrato, de todas as ocorrências relacionadas à execução do contrato e as medidas adotadas, informando, se for o caso, à autoridade superior àquelas que ultrapassarem a sua competência;</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elaborar relatório final com informações sobre a consecução dos objetivos que tenham justificado a contratação e eventuais condutas a serem adotadas para o aprimoramento das atividades da Administração; </w:t>
      </w:r>
    </w:p>
    <w:p w:rsidR="00B53C0C" w:rsidRPr="00A67753" w:rsidRDefault="00B53C0C" w:rsidP="00B53C0C">
      <w:pPr>
        <w:numPr>
          <w:ilvl w:val="0"/>
          <w:numId w:val="1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enviar a documentação pertinente ao setor de contratos para a formalização dos procedimentos de liquidação e pagamento, no valor dimensionado pela fiscalização e gestão nos termos do contrato.</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CRITÉRIOS DE RECEBIMENTO E DE PAGAMENTO</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Default="00B53C0C" w:rsidP="00B53C0C">
      <w:pPr>
        <w:numPr>
          <w:ilvl w:val="1"/>
          <w:numId w:val="2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Para efeitos de pagamento, começa a valer a partir do dia da entrega técnica, em que o sistema estiver completamente instalado, funcionando e forem capacitadas as pessoas responsáveis do local, para operar o monitoramento.</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i/>
          <w:sz w:val="24"/>
          <w:szCs w:val="24"/>
        </w:rPr>
        <w:t xml:space="preserve">     </w:t>
      </w: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devendo ser substituídos no prazo d</w:t>
      </w:r>
      <w:r>
        <w:rPr>
          <w:rFonts w:ascii="Bookman Old Style" w:eastAsia="Arial" w:hAnsi="Bookman Old Style" w:cs="Arial"/>
          <w:color w:val="000000"/>
          <w:sz w:val="24"/>
          <w:szCs w:val="24"/>
        </w:rPr>
        <w:t>e 3 (três) dias corrido</w:t>
      </w:r>
      <w:r>
        <w:rPr>
          <w:rFonts w:ascii="Bookman Old Style" w:eastAsia="Arial" w:hAnsi="Bookman Old Style" w:cs="Arial"/>
          <w:sz w:val="24"/>
          <w:szCs w:val="24"/>
        </w:rPr>
        <w:t>s</w:t>
      </w:r>
      <w:r w:rsidRPr="00A67753">
        <w:rPr>
          <w:rFonts w:ascii="Bookman Old Style" w:eastAsia="Arial" w:hAnsi="Bookman Old Style" w:cs="Arial"/>
          <w:sz w:val="24"/>
          <w:szCs w:val="24"/>
        </w:rPr>
        <w:t>, a contar da notificação da contratada, às suas custas, sem prejuízo da aplicação das penalidades.</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rsidR="00B53C0C" w:rsidRPr="00A67753" w:rsidRDefault="00B53C0C" w:rsidP="00B53C0C">
      <w:pPr>
        <w:numPr>
          <w:ilvl w:val="1"/>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w:t>
      </w:r>
      <w:r w:rsidRPr="008B3746">
        <w:rPr>
          <w:rFonts w:ascii="Bookman Old Style" w:eastAsia="Arial" w:hAnsi="Bookman Old Style" w:cs="Arial"/>
          <w:sz w:val="24"/>
          <w:szCs w:val="24"/>
        </w:rPr>
        <w:t>realizado(s) mensalmente em</w:t>
      </w:r>
      <w:r w:rsidRPr="00A67753">
        <w:rPr>
          <w:rFonts w:ascii="Bookman Old Style" w:eastAsia="Arial" w:hAnsi="Bookman Old Style" w:cs="Arial"/>
          <w:sz w:val="24"/>
          <w:szCs w:val="24"/>
        </w:rPr>
        <w:t xml:space="preserve"> até 30 dias após o aceite da nota fiscal ou documento equivalente. </w:t>
      </w:r>
    </w:p>
    <w:p w:rsidR="00B53C0C" w:rsidRPr="00A67753" w:rsidRDefault="00B53C0C" w:rsidP="00B53C0C">
      <w:pPr>
        <w:numPr>
          <w:ilvl w:val="1"/>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lastRenderedPageBreak/>
        <w:t>Quando do pagamento será efetuada a retenção tributária prevista na legislação aplicável.</w:t>
      </w:r>
    </w:p>
    <w:p w:rsidR="00B53C0C" w:rsidRPr="00A67753" w:rsidRDefault="00B53C0C" w:rsidP="00B53C0C">
      <w:pPr>
        <w:numPr>
          <w:ilvl w:val="2"/>
          <w:numId w:val="27"/>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rsidR="00B53C0C" w:rsidRPr="00A67753" w:rsidRDefault="00B53C0C" w:rsidP="00B53C0C">
      <w:pPr>
        <w:numPr>
          <w:ilvl w:val="1"/>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FORMA E CRITÉRIOS DE SELEÇÃO DO FORNECEDOR E FORMA DE FORNECIMENTO</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2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rsidR="00B53C0C" w:rsidRPr="00A67753" w:rsidRDefault="00B53C0C" w:rsidP="00B53C0C">
      <w:pPr>
        <w:numPr>
          <w:ilvl w:val="2"/>
          <w:numId w:val="2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O fornecedor será selecionado por meio</w:t>
      </w:r>
      <w:r>
        <w:rPr>
          <w:rFonts w:ascii="Bookman Old Style" w:eastAsia="Arial" w:hAnsi="Bookman Old Style" w:cs="Arial"/>
          <w:color w:val="000000"/>
          <w:sz w:val="24"/>
          <w:szCs w:val="24"/>
        </w:rPr>
        <w:t xml:space="preserve"> da realização de procedimento de LICITAÇÃO, na modalidade PREGÃO sob a forma eletrônica, com adoção do </w:t>
      </w:r>
      <w:r w:rsidRPr="008B3746">
        <w:rPr>
          <w:rFonts w:ascii="Bookman Old Style" w:eastAsia="Arial" w:hAnsi="Bookman Old Style" w:cs="Arial"/>
          <w:color w:val="000000"/>
          <w:sz w:val="24"/>
          <w:szCs w:val="24"/>
        </w:rPr>
        <w:t>critério de julgamento pelo MENOR PREÇO POR ITEM.</w:t>
      </w:r>
    </w:p>
    <w:p w:rsidR="00B53C0C" w:rsidRPr="00A67753" w:rsidRDefault="00B53C0C" w:rsidP="00B53C0C">
      <w:pPr>
        <w:numPr>
          <w:ilvl w:val="2"/>
          <w:numId w:val="2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rsidR="00B53C0C" w:rsidRDefault="00B53C0C" w:rsidP="00B53C0C">
      <w:pPr>
        <w:numPr>
          <w:ilvl w:val="3"/>
          <w:numId w:val="28"/>
        </w:numPr>
        <w:pBdr>
          <w:top w:val="nil"/>
          <w:left w:val="nil"/>
          <w:bottom w:val="nil"/>
          <w:right w:val="nil"/>
          <w:between w:val="nil"/>
        </w:pBdr>
        <w:spacing w:after="120" w:line="240" w:lineRule="auto"/>
        <w:ind w:left="0"/>
        <w:jc w:val="both"/>
        <w:rPr>
          <w:rFonts w:ascii="Bookman Old Style" w:eastAsia="Arial" w:hAnsi="Bookman Old Style" w:cs="Arial"/>
          <w:i/>
          <w:color w:val="000000"/>
          <w:sz w:val="24"/>
          <w:szCs w:val="24"/>
        </w:rPr>
      </w:pPr>
      <w:r w:rsidRPr="00A67753">
        <w:rPr>
          <w:rFonts w:ascii="Bookman Old Style" w:eastAsia="Arial" w:hAnsi="Bookman Old Style" w:cs="Arial"/>
          <w:i/>
          <w:color w:val="000000"/>
          <w:sz w:val="24"/>
          <w:szCs w:val="24"/>
        </w:rPr>
        <w:t xml:space="preserve">O fornecimento do objeto será </w:t>
      </w:r>
      <w:r>
        <w:rPr>
          <w:rFonts w:ascii="Bookman Old Style" w:eastAsia="Arial" w:hAnsi="Bookman Old Style" w:cs="Arial"/>
          <w:i/>
          <w:color w:val="000000"/>
          <w:sz w:val="24"/>
          <w:szCs w:val="24"/>
        </w:rPr>
        <w:t>continuado.</w:t>
      </w:r>
    </w:p>
    <w:p w:rsidR="00B53C0C" w:rsidRPr="00A67753" w:rsidRDefault="00B53C0C" w:rsidP="00B53C0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Exigências de habilitação</w:t>
      </w:r>
    </w:p>
    <w:p w:rsidR="00B53C0C" w:rsidRPr="00A67753" w:rsidRDefault="00B53C0C" w:rsidP="00B53C0C">
      <w:pPr>
        <w:numPr>
          <w:ilvl w:val="2"/>
          <w:numId w:val="28"/>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rsidR="00B53C0C" w:rsidRPr="00A67753" w:rsidRDefault="00B53C0C" w:rsidP="00B53C0C">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rsidR="00B53C0C" w:rsidRPr="00A67753" w:rsidRDefault="00B53C0C" w:rsidP="00B53C0C">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rsidR="00B53C0C" w:rsidRPr="00A67753" w:rsidRDefault="00B53C0C" w:rsidP="00B53C0C">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rsidR="00B53C0C" w:rsidRPr="00A67753" w:rsidRDefault="00B53C0C" w:rsidP="00B53C0C">
      <w:pPr>
        <w:numPr>
          <w:ilvl w:val="0"/>
          <w:numId w:val="17"/>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2" w:name="_heading=h.3znysh7" w:colFirst="0" w:colLast="0"/>
      <w:bookmarkEnd w:id="2"/>
      <w:r w:rsidRPr="00A67753">
        <w:rPr>
          <w:rFonts w:ascii="Bookman Old Style" w:eastAsia="Arial" w:hAnsi="Bookman Old Style" w:cs="Arial"/>
          <w:color w:val="000000"/>
          <w:sz w:val="24"/>
          <w:szCs w:val="24"/>
        </w:rPr>
        <w:t>Os documentos apresentados deverão estar acompanhados de todas as alterações ou da consolidação respectiva.</w:t>
      </w:r>
    </w:p>
    <w:p w:rsidR="00B53C0C" w:rsidRPr="00A67753" w:rsidRDefault="00B53C0C" w:rsidP="00B53C0C">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A67753">
        <w:rPr>
          <w:rFonts w:ascii="Bookman Old Style" w:eastAsia="Arial" w:hAnsi="Bookman Old Style" w:cs="Arial"/>
          <w:color w:val="000000"/>
          <w:sz w:val="24"/>
          <w:szCs w:val="24"/>
        </w:rPr>
        <w:t>RFB</w:t>
      </w:r>
      <w:proofErr w:type="spellEnd"/>
      <w:r w:rsidRPr="00A67753">
        <w:rPr>
          <w:rFonts w:ascii="Bookman Old Style" w:eastAsia="Arial" w:hAnsi="Bookman Old Style" w:cs="Arial"/>
          <w:color w:val="000000"/>
          <w:sz w:val="24"/>
          <w:szCs w:val="24"/>
        </w:rPr>
        <w:t>) e pela Procuradoria-Geral da Fazenda Nacional (</w:t>
      </w:r>
      <w:proofErr w:type="spellStart"/>
      <w:r w:rsidRPr="00A67753">
        <w:rPr>
          <w:rFonts w:ascii="Bookman Old Style" w:eastAsia="Arial" w:hAnsi="Bookman Old Style" w:cs="Arial"/>
          <w:color w:val="000000"/>
          <w:sz w:val="24"/>
          <w:szCs w:val="24"/>
        </w:rPr>
        <w:t>PGFN</w:t>
      </w:r>
      <w:proofErr w:type="spellEnd"/>
      <w:r w:rsidRPr="00A67753">
        <w:rPr>
          <w:rFonts w:ascii="Bookman Old Style" w:eastAsia="Arial" w:hAnsi="Bookman Old Style" w:cs="Arial"/>
          <w:color w:val="000000"/>
          <w:sz w:val="24"/>
          <w:szCs w:val="24"/>
        </w:rPr>
        <w:t>), referente a todos os créditos tributários federais e à Dívida Ativa da União (</w:t>
      </w:r>
      <w:proofErr w:type="spellStart"/>
      <w:r w:rsidRPr="00A67753">
        <w:rPr>
          <w:rFonts w:ascii="Bookman Old Style" w:eastAsia="Arial" w:hAnsi="Bookman Old Style" w:cs="Arial"/>
          <w:color w:val="000000"/>
          <w:sz w:val="24"/>
          <w:szCs w:val="24"/>
        </w:rPr>
        <w:t>DAU</w:t>
      </w:r>
      <w:proofErr w:type="spellEnd"/>
      <w:r w:rsidRPr="00A67753">
        <w:rPr>
          <w:rFonts w:ascii="Bookman Old Style" w:eastAsia="Arial" w:hAnsi="Bookman Old Style" w:cs="Arial"/>
          <w:color w:val="000000"/>
          <w:sz w:val="24"/>
          <w:szCs w:val="24"/>
        </w:rPr>
        <w:t xml:space="preserve">) </w:t>
      </w:r>
      <w:r w:rsidRPr="00A67753">
        <w:rPr>
          <w:rFonts w:ascii="Bookman Old Style" w:eastAsia="Arial" w:hAnsi="Bookman Old Style" w:cs="Arial"/>
          <w:color w:val="000000"/>
          <w:sz w:val="24"/>
          <w:szCs w:val="24"/>
        </w:rPr>
        <w:lastRenderedPageBreak/>
        <w:t>por elas administrados, inclusive aqueles relativos à Seguridade Social, nos termos da Portaria Conjunta n.º 1.751, de 02 de outubro de 2014, do Secretário da Receita Federal do Brasil e da Procuradora-Geral da Fazenda Nacional.</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A67753">
        <w:rPr>
          <w:rFonts w:ascii="Bookman Old Style" w:eastAsia="Arial" w:hAnsi="Bookman Old Style" w:cs="Arial"/>
          <w:color w:val="000000"/>
          <w:sz w:val="24"/>
          <w:szCs w:val="24"/>
        </w:rPr>
        <w:t>VII-A</w:t>
      </w:r>
      <w:proofErr w:type="spellEnd"/>
      <w:r w:rsidRPr="00A67753">
        <w:rPr>
          <w:rFonts w:ascii="Bookman Old Style" w:eastAsia="Arial" w:hAnsi="Bookman Old Style" w:cs="Arial"/>
          <w:color w:val="000000"/>
          <w:sz w:val="24"/>
          <w:szCs w:val="24"/>
        </w:rPr>
        <w:t xml:space="preserve"> da Consolidação das Leis do Trabalho, aprovada pelo Decreto-Lei n.º 5.452, de 1º de maio de 1943;</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8372A9">
        <w:rPr>
          <w:rFonts w:ascii="Bookman Old Style" w:eastAsia="Arial" w:hAnsi="Bookman Old Style" w:cs="Arial"/>
          <w:i/>
          <w:color w:val="000000"/>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do domicílio ou sede do fornecedor, relativa à atividade em cujo exercício contrata ou concorre;</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Caso o fornecedor seja considerado isento dos tributos </w:t>
      </w:r>
      <w:r w:rsidRPr="008372A9">
        <w:rPr>
          <w:rFonts w:ascii="Bookman Old Style" w:eastAsia="Arial" w:hAnsi="Bookman Old Style" w:cs="Arial"/>
          <w:i/>
          <w:color w:val="000000"/>
          <w:sz w:val="24"/>
          <w:szCs w:val="24"/>
        </w:rPr>
        <w:t>Municipal/Distrital</w:t>
      </w:r>
      <w:r w:rsidRPr="00A67753">
        <w:rPr>
          <w:rFonts w:ascii="Bookman Old Style" w:eastAsia="Arial" w:hAnsi="Bookman Old Style" w:cs="Arial"/>
          <w:i/>
          <w:color w:val="FF0000"/>
          <w:sz w:val="24"/>
          <w:szCs w:val="24"/>
        </w:rPr>
        <w:t xml:space="preserve"> </w:t>
      </w:r>
      <w:r w:rsidRPr="00A67753">
        <w:rPr>
          <w:rFonts w:ascii="Bookman Old Style" w:eastAsia="Arial" w:hAnsi="Bookman Old Style" w:cs="Arial"/>
          <w:color w:val="000000"/>
          <w:sz w:val="24"/>
          <w:szCs w:val="24"/>
        </w:rPr>
        <w:t>relacionado ao objeto contratual, deverá comprovar tal condição mediante a apresentação de declaração da Fazenda respectiva do seu domicílio ou sede, ou outra equivalente, na forma da lei.</w:t>
      </w:r>
    </w:p>
    <w:p w:rsidR="00B53C0C" w:rsidRPr="00A67753" w:rsidRDefault="00B53C0C" w:rsidP="00B53C0C">
      <w:pPr>
        <w:numPr>
          <w:ilvl w:val="0"/>
          <w:numId w:val="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rsidR="00B53C0C" w:rsidRPr="00A67753" w:rsidRDefault="00B53C0C" w:rsidP="00B53C0C">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rsidR="00B53C0C" w:rsidRPr="00A67753" w:rsidRDefault="00B53C0C" w:rsidP="00B53C0C">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Certidão negativa de insolvência civil expedida pelo distribuidor do dom</w:t>
      </w:r>
      <w:r w:rsidRPr="00A67753">
        <w:rPr>
          <w:rFonts w:ascii="Bookman Old Style" w:eastAsia="Arial" w:hAnsi="Bookman Old Style" w:cs="Arial"/>
          <w:sz w:val="24"/>
          <w:szCs w:val="24"/>
        </w:rPr>
        <w:t xml:space="preserve">icílio ou sede do licitante, caso se trate de pessoa física, desde que admitida a sua participação na licitação (art. 5º, inciso II, alínea “c”, da Instrução Normativa Seges/ME n.º 116, de 2021), ou de sociedade simples; </w:t>
      </w:r>
    </w:p>
    <w:p w:rsidR="00B53C0C" w:rsidRPr="00A67753" w:rsidRDefault="00B53C0C" w:rsidP="00B53C0C">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rsidR="00B53C0C" w:rsidRPr="00A67753" w:rsidRDefault="00B53C0C" w:rsidP="00B53C0C">
      <w:pPr>
        <w:numPr>
          <w:ilvl w:val="0"/>
          <w:numId w:val="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Balanço patrimonial, demonstração de resultado de exercício e demais demonstrações contábeis dos 2 (dois) últimos exercícios sociais, comprovando:</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Índices de Liquidez Geral (LG),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e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superiores a 1 (um);</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As empresas criadas no exercício financeiro da licitação deverão atender a todas as exigências da habilitação e poderão substituir os demonstrativos contábeis pelo balanço de abertura.</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Os documentos referidos acima limitar-se-ão ao último exercício no caso de a pessoa jurídica ter sido constituída há menos de 2 (dois) anos;</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 xml:space="preserve">- Os documentos referidos acima deverão ser exigidos com base no limite definido pela Receita Federal do Brasil para transmissão da Escrituração Contábil Digital - </w:t>
      </w:r>
      <w:proofErr w:type="spellStart"/>
      <w:r w:rsidRPr="00A67753">
        <w:rPr>
          <w:rFonts w:ascii="Bookman Old Style" w:eastAsia="Arial" w:hAnsi="Bookman Old Style" w:cs="Arial"/>
          <w:color w:val="000000"/>
          <w:sz w:val="24"/>
          <w:szCs w:val="24"/>
        </w:rPr>
        <w:t>ECD</w:t>
      </w:r>
      <w:proofErr w:type="spellEnd"/>
      <w:r w:rsidRPr="00A67753">
        <w:rPr>
          <w:rFonts w:ascii="Bookman Old Style" w:eastAsia="Arial" w:hAnsi="Bookman Old Style" w:cs="Arial"/>
          <w:color w:val="000000"/>
          <w:sz w:val="24"/>
          <w:szCs w:val="24"/>
        </w:rPr>
        <w:t xml:space="preserve"> ao </w:t>
      </w:r>
      <w:proofErr w:type="spellStart"/>
      <w:r w:rsidRPr="00A67753">
        <w:rPr>
          <w:rFonts w:ascii="Bookman Old Style" w:eastAsia="Arial" w:hAnsi="Bookman Old Style" w:cs="Arial"/>
          <w:color w:val="000000"/>
          <w:sz w:val="24"/>
          <w:szCs w:val="24"/>
        </w:rPr>
        <w:t>Sped</w:t>
      </w:r>
      <w:proofErr w:type="spellEnd"/>
      <w:r w:rsidRPr="00A67753">
        <w:rPr>
          <w:rFonts w:ascii="Bookman Old Style" w:eastAsia="Arial" w:hAnsi="Bookman Old Style" w:cs="Arial"/>
          <w:color w:val="000000"/>
          <w:sz w:val="24"/>
          <w:szCs w:val="24"/>
        </w:rPr>
        <w:t>.</w:t>
      </w:r>
    </w:p>
    <w:p w:rsidR="00B53C0C" w:rsidRPr="00A67753" w:rsidRDefault="00B53C0C" w:rsidP="00B53C0C">
      <w:pPr>
        <w:numPr>
          <w:ilvl w:val="0"/>
          <w:numId w:val="2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Caso a empresa licitante apresente resultado inferior ou igual a 1 (um) em qualquer dos índices de Liquidez Geral (LG), Solvência Geral (</w:t>
      </w:r>
      <w:proofErr w:type="spellStart"/>
      <w:r w:rsidRPr="00A67753">
        <w:rPr>
          <w:rFonts w:ascii="Bookman Old Style" w:eastAsia="Arial" w:hAnsi="Bookman Old Style" w:cs="Arial"/>
          <w:color w:val="000000"/>
          <w:sz w:val="24"/>
          <w:szCs w:val="24"/>
        </w:rPr>
        <w:t>SG</w:t>
      </w:r>
      <w:proofErr w:type="spellEnd"/>
      <w:r w:rsidRPr="00A67753">
        <w:rPr>
          <w:rFonts w:ascii="Bookman Old Style" w:eastAsia="Arial" w:hAnsi="Bookman Old Style" w:cs="Arial"/>
          <w:color w:val="000000"/>
          <w:sz w:val="24"/>
          <w:szCs w:val="24"/>
        </w:rPr>
        <w:t>) e Liquidez Corrente (</w:t>
      </w:r>
      <w:proofErr w:type="spellStart"/>
      <w:r w:rsidRPr="00A67753">
        <w:rPr>
          <w:rFonts w:ascii="Bookman Old Style" w:eastAsia="Arial" w:hAnsi="Bookman Old Style" w:cs="Arial"/>
          <w:color w:val="000000"/>
          <w:sz w:val="24"/>
          <w:szCs w:val="24"/>
        </w:rPr>
        <w:t>LC</w:t>
      </w:r>
      <w:proofErr w:type="spellEnd"/>
      <w:r w:rsidRPr="00A67753">
        <w:rPr>
          <w:rFonts w:ascii="Bookman Old Style" w:eastAsia="Arial" w:hAnsi="Bookman Old Style" w:cs="Arial"/>
          <w:color w:val="000000"/>
          <w:sz w:val="24"/>
          <w:szCs w:val="24"/>
        </w:rPr>
        <w:t xml:space="preserve">), será exigido para fins de habilitação </w:t>
      </w:r>
      <w:r>
        <w:rPr>
          <w:rFonts w:ascii="Bookman Old Style" w:eastAsia="Arial" w:hAnsi="Bookman Old Style" w:cs="Arial"/>
          <w:color w:val="000000"/>
          <w:sz w:val="24"/>
          <w:szCs w:val="24"/>
        </w:rPr>
        <w:t>capital mínimo.</w:t>
      </w:r>
    </w:p>
    <w:p w:rsidR="00B53C0C" w:rsidRPr="00A67753" w:rsidRDefault="00B53C0C" w:rsidP="00B53C0C">
      <w:pPr>
        <w:numPr>
          <w:ilvl w:val="0"/>
          <w:numId w:val="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empresas criadas no exercício financeiro da licitação deverão atender a todas as exigências da habilitação e poderão substituir os demonstrativos contábeis pelo balanço de abertura. (Lei n.º 14.133, de 2021, art. 65, §1º).</w:t>
      </w:r>
    </w:p>
    <w:p w:rsidR="00B53C0C" w:rsidRDefault="00B53C0C" w:rsidP="00B53C0C">
      <w:pPr>
        <w:numPr>
          <w:ilvl w:val="0"/>
          <w:numId w:val="6"/>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i/>
          <w:color w:val="000000"/>
          <w:sz w:val="24"/>
          <w:szCs w:val="24"/>
        </w:rPr>
        <w:lastRenderedPageBreak/>
        <w:t>O atendimento dos índices econômicos previstos neste item deverá ser atestado mediante declaração assinada por profissional habilitado da área contábil, apresentada pelo fornecedor.</w:t>
      </w:r>
    </w:p>
    <w:p w:rsidR="00B53C0C" w:rsidRDefault="00B53C0C" w:rsidP="00B53C0C">
      <w:pPr>
        <w:numPr>
          <w:ilvl w:val="0"/>
          <w:numId w:val="1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Qualificação Técnica</w:t>
      </w:r>
    </w:p>
    <w:p w:rsidR="00B53C0C" w:rsidRPr="00474133" w:rsidRDefault="00B53C0C" w:rsidP="00B53C0C">
      <w:pPr>
        <w:pBdr>
          <w:top w:val="nil"/>
          <w:left w:val="nil"/>
          <w:bottom w:val="nil"/>
          <w:right w:val="nil"/>
          <w:between w:val="nil"/>
        </w:pBdr>
        <w:spacing w:after="120" w:line="240" w:lineRule="auto"/>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 xml:space="preserve">a) </w:t>
      </w:r>
      <w:r w:rsidRPr="00474133">
        <w:rPr>
          <w:rFonts w:ascii="Bookman Old Style" w:eastAsia="Arial" w:hAnsi="Bookman Old Style" w:cs="Arial"/>
          <w:i/>
          <w:color w:val="000000"/>
          <w:sz w:val="24"/>
          <w:szCs w:val="24"/>
        </w:rPr>
        <w:t>Comprovação de aptidão para o fornecimento de bens similares de complexidade tecnológica e operacional equivalente ou superior com o objeto desta contratação, ou com o item pertinente, por meio da apresentação de atestado de capacidade técnica emitido por pessoas jurídicas de direito público ou privado, ou regularmente emitido(s) pelo conselho profissional competente, quando for o caso.</w:t>
      </w:r>
    </w:p>
    <w:p w:rsidR="00B53C0C" w:rsidRPr="00474133" w:rsidRDefault="00B53C0C" w:rsidP="00B53C0C">
      <w:pPr>
        <w:pStyle w:val="PargrafodaLista"/>
        <w:numPr>
          <w:ilvl w:val="0"/>
          <w:numId w:val="20"/>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474133">
        <w:rPr>
          <w:rFonts w:ascii="Bookman Old Style" w:hAnsi="Bookman Old Style"/>
          <w:sz w:val="24"/>
          <w:szCs w:val="24"/>
        </w:rPr>
        <w:t>A Contratada deverá enviar declaração de CAPACIDADE TÉCNICO OPERACIONAL de que possui suporte técnico/administrativo, aparelhamento, instalações e condições adequadas, bem como pessoal qualificado e treinado, disponíveis para a execução dos serviços objeto desta licitação.</w:t>
      </w:r>
      <w:r w:rsidRPr="00474133">
        <w:rPr>
          <w:rFonts w:ascii="Bookman Old Style" w:eastAsia="Arial" w:hAnsi="Bookman Old Style" w:cs="Arial"/>
          <w:i/>
          <w:color w:val="000000"/>
          <w:sz w:val="24"/>
          <w:szCs w:val="24"/>
        </w:rPr>
        <w:t xml:space="preserve"> </w:t>
      </w:r>
      <w:r w:rsidRPr="00474133">
        <w:rPr>
          <w:rFonts w:ascii="Bookman Old Style" w:hAnsi="Bookman Old Style"/>
          <w:sz w:val="24"/>
          <w:szCs w:val="24"/>
        </w:rPr>
        <w:t>Deverá apresentar atestado de capacidade técnica de pessoa jurídica pública ou privada, de que já tenha prestado semelhante serviço em qualquer quantidade.</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 xml:space="preserve">     ESTIMATIVAS DO VALOR DA CONTRATAÇÃO</w:t>
      </w:r>
    </w:p>
    <w:p w:rsidR="00B53C0C"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Default="00B53C0C" w:rsidP="00B53C0C">
      <w:pPr>
        <w:numPr>
          <w:ilvl w:val="1"/>
          <w:numId w:val="18"/>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 xml:space="preserve">O custo estimado total da contratação é de R$ 16.832,80 (dezesseis mil, oitocentos e trinta e dois reais e oitenta centavos), conforme custos unitários dispostos na tabela acima, realizada através de pesquisa de preço no </w:t>
      </w:r>
      <w:proofErr w:type="spellStart"/>
      <w:r>
        <w:rPr>
          <w:rFonts w:ascii="Bookman Old Style" w:eastAsia="Arial" w:hAnsi="Bookman Old Style" w:cs="Arial"/>
          <w:color w:val="000000"/>
          <w:sz w:val="24"/>
          <w:szCs w:val="24"/>
        </w:rPr>
        <w:t>PNCP</w:t>
      </w:r>
      <w:proofErr w:type="spellEnd"/>
      <w:r>
        <w:rPr>
          <w:rFonts w:ascii="Bookman Old Style" w:eastAsia="Arial" w:hAnsi="Bookman Old Style" w:cs="Arial"/>
          <w:color w:val="000000"/>
          <w:sz w:val="24"/>
          <w:szCs w:val="24"/>
        </w:rPr>
        <w:t>.</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ADEQUAÇÃO ORÇAMENTÁRIA</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19"/>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67753">
        <w:rPr>
          <w:rFonts w:ascii="Bookman Old Style" w:eastAsia="Arial" w:hAnsi="Bookman Old Style" w:cs="Arial"/>
          <w:sz w:val="24"/>
          <w:szCs w:val="24"/>
        </w:rPr>
        <w:t>do respectivo órgão público.</w:t>
      </w:r>
    </w:p>
    <w:p w:rsidR="00B53C0C" w:rsidRPr="00A67753" w:rsidRDefault="00B53C0C" w:rsidP="00B53C0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 contratação será atendida pela seguinte dotação:</w:t>
      </w:r>
    </w:p>
    <w:p w:rsidR="00B53C0C" w:rsidRPr="00E75B9E" w:rsidRDefault="00B53C0C" w:rsidP="00B53C0C">
      <w:pPr>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75B9E">
        <w:rPr>
          <w:rFonts w:ascii="Bookman Old Style" w:eastAsia="Arial" w:hAnsi="Bookman Old Style" w:cs="Arial"/>
          <w:color w:val="000000"/>
          <w:sz w:val="24"/>
          <w:szCs w:val="24"/>
        </w:rPr>
        <w:t>Educação: 3390/</w:t>
      </w:r>
      <w:r>
        <w:rPr>
          <w:rFonts w:ascii="Bookman Old Style" w:eastAsia="Arial" w:hAnsi="Bookman Old Style" w:cs="Arial"/>
          <w:color w:val="000000"/>
          <w:sz w:val="24"/>
          <w:szCs w:val="24"/>
        </w:rPr>
        <w:t>2</w:t>
      </w:r>
      <w:r w:rsidRPr="00E75B9E">
        <w:rPr>
          <w:rFonts w:ascii="Bookman Old Style" w:eastAsia="Arial" w:hAnsi="Bookman Old Style" w:cs="Arial"/>
          <w:color w:val="000000"/>
          <w:sz w:val="24"/>
          <w:szCs w:val="24"/>
        </w:rPr>
        <w:t>013/37;</w:t>
      </w:r>
    </w:p>
    <w:p w:rsidR="00B53C0C" w:rsidRPr="00E75B9E" w:rsidRDefault="00B53C0C" w:rsidP="00B53C0C">
      <w:pPr>
        <w:numPr>
          <w:ilvl w:val="0"/>
          <w:numId w:val="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E75B9E">
        <w:rPr>
          <w:rFonts w:ascii="Bookman Old Style" w:eastAsia="Arial" w:hAnsi="Bookman Old Style" w:cs="Arial"/>
          <w:color w:val="000000"/>
          <w:sz w:val="24"/>
          <w:szCs w:val="24"/>
        </w:rPr>
        <w:t>Saúde: 3390/2019/4</w:t>
      </w:r>
    </w:p>
    <w:p w:rsidR="00B53C0C" w:rsidRDefault="00B53C0C" w:rsidP="00B53C0C">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A dotação relativa aos exercícios financeiros subsequentes será indicada após aprovação da Lei Orçamentária respectiva e liberação dos créditos correspondentes, mediante apostilamento.</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E75B9E" w:rsidRDefault="00B53C0C" w:rsidP="00B53C0C">
      <w:pPr>
        <w:numPr>
          <w:ilvl w:val="1"/>
          <w:numId w:val="21"/>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w:t>
      </w:r>
      <w:r w:rsidRPr="00E75B9E">
        <w:rPr>
          <w:rFonts w:ascii="Bookman Old Style" w:eastAsia="Arial" w:hAnsi="Bookman Old Style" w:cs="Arial"/>
          <w:color w:val="000000"/>
          <w:sz w:val="24"/>
          <w:szCs w:val="24"/>
        </w:rPr>
        <w:t>ainda, as obrigações a seguir dispostas:</w:t>
      </w:r>
    </w:p>
    <w:p w:rsidR="00B53C0C" w:rsidRPr="00E75B9E"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sidRPr="00E75B9E">
        <w:rPr>
          <w:rFonts w:ascii="Bookman Old Style" w:eastAsia="Arial" w:hAnsi="Bookman Old Style" w:cs="Arial"/>
          <w:i/>
          <w:color w:val="000000"/>
          <w:sz w:val="24"/>
          <w:szCs w:val="24"/>
        </w:rPr>
        <w:lastRenderedPageBreak/>
        <w:t>Deverá ser feita entrega técnica, orientando os usuários a respeito de como o sistema funciona, no momento em que estiver tudo instalado, pronto para o início do funcionamento.</w:t>
      </w:r>
    </w:p>
    <w:p w:rsidR="00B53C0C"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i/>
          <w:color w:val="000000"/>
          <w:sz w:val="24"/>
          <w:szCs w:val="24"/>
        </w:rPr>
      </w:pPr>
      <w:r>
        <w:rPr>
          <w:rFonts w:ascii="Bookman Old Style" w:eastAsia="Arial" w:hAnsi="Bookman Old Style" w:cs="Arial"/>
          <w:i/>
          <w:color w:val="000000"/>
          <w:sz w:val="24"/>
          <w:szCs w:val="24"/>
        </w:rPr>
        <w:t>Deverá possuir contato através de telefone, WhatsApp e e-mail 24 horas, para as diferentes necessidades de contato que a Contratante vir a ter durante o período de vigência contratual.</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no prazo máximo de 48 horas que antecede a data da entrega, os motivos que impossibilitem o cumprimento do prazo previsto, com a devida comprovação;</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A67753">
        <w:rPr>
          <w:rFonts w:ascii="Bookman Old Style" w:eastAsia="Arial" w:hAnsi="Bookman Old Style" w:cs="Arial"/>
          <w:color w:val="000000"/>
          <w:sz w:val="24"/>
          <w:szCs w:val="24"/>
        </w:rPr>
        <w:t>SICAF</w:t>
      </w:r>
      <w:proofErr w:type="spellEnd"/>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5) Certidão Negativa de Débitos Trabalhistas – </w:t>
      </w:r>
      <w:proofErr w:type="spellStart"/>
      <w:r w:rsidRPr="00A67753">
        <w:rPr>
          <w:rFonts w:ascii="Bookman Old Style" w:eastAsia="Arial" w:hAnsi="Bookman Old Style" w:cs="Arial"/>
          <w:color w:val="000000"/>
          <w:sz w:val="24"/>
          <w:szCs w:val="24"/>
        </w:rPr>
        <w:t>CNDT</w:t>
      </w:r>
      <w:proofErr w:type="spellEnd"/>
      <w:r w:rsidRPr="00A67753">
        <w:rPr>
          <w:rFonts w:ascii="Bookman Old Style" w:eastAsia="Arial" w:hAnsi="Bookman Old Style" w:cs="Arial"/>
          <w:color w:val="000000"/>
          <w:sz w:val="24"/>
          <w:szCs w:val="24"/>
        </w:rPr>
        <w:t>.</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Comunicar ao Fiscal do contrato, no prazo de 24 (vinte e quatro) horas, qualquer ocorrência anormal ou acidente que se verifique no local da execução do objeto contratual;</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lastRenderedPageBreak/>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B53C0C" w:rsidRPr="00A67753" w:rsidRDefault="00B53C0C" w:rsidP="00B53C0C">
      <w:pPr>
        <w:numPr>
          <w:ilvl w:val="1"/>
          <w:numId w:val="21"/>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RESPONSABILIDADES DO CONTRATANTE</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22"/>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lastRenderedPageBreak/>
        <w:t xml:space="preserve">Aplicar ao </w:t>
      </w:r>
      <w:r w:rsidRPr="00A67753">
        <w:rPr>
          <w:rFonts w:ascii="Bookman Old Style" w:eastAsia="Arial" w:hAnsi="Bookman Old Style" w:cs="Arial"/>
          <w:bCs/>
          <w:color w:val="000000"/>
          <w:sz w:val="24"/>
          <w:szCs w:val="24"/>
        </w:rPr>
        <w:t xml:space="preserve">CONTRATADO as sanções previstas na lei; </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B53C0C" w:rsidRPr="00A67753" w:rsidRDefault="00B53C0C" w:rsidP="00B53C0C">
      <w:pPr>
        <w:numPr>
          <w:ilvl w:val="1"/>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Pr="00A67753" w:rsidRDefault="00B53C0C" w:rsidP="00B53C0C">
      <w:pPr>
        <w:numPr>
          <w:ilvl w:val="1"/>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rsidR="00B53C0C" w:rsidRPr="00A67753" w:rsidRDefault="00B53C0C" w:rsidP="00B53C0C">
      <w:pPr>
        <w:numPr>
          <w:ilvl w:val="2"/>
          <w:numId w:val="8"/>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rsidR="00B53C0C" w:rsidRPr="00A67753" w:rsidRDefault="00B53C0C" w:rsidP="00B53C0C">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B53C0C" w:rsidRPr="00A67753" w:rsidRDefault="00B53C0C" w:rsidP="00B53C0C">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B53C0C" w:rsidRPr="00A67753" w:rsidRDefault="00B53C0C" w:rsidP="00B53C0C">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 xml:space="preserve">Declaração de inidoneidade para licitar e contratar, quando praticadas as condutas descritas nas alíneas “e”, “f”, “g” e “h” do subitem acima deste </w:t>
      </w:r>
      <w:r w:rsidRPr="00A67753">
        <w:rPr>
          <w:rFonts w:ascii="Bookman Old Style" w:eastAsia="Arial" w:hAnsi="Bookman Old Style" w:cs="Arial"/>
          <w:bCs/>
          <w:color w:val="000000"/>
          <w:sz w:val="24"/>
          <w:szCs w:val="24"/>
        </w:rPr>
        <w:lastRenderedPageBreak/>
        <w:t>contrato, bem como nas alíneas “b”, “c” e “d”, que justifiquem a imposição de penalidade mais grave (Art. 156, §5º, da Lei n.º 14.133/2021).</w:t>
      </w:r>
    </w:p>
    <w:p w:rsidR="00B53C0C" w:rsidRPr="00A67753" w:rsidRDefault="00B53C0C" w:rsidP="00B53C0C">
      <w:pPr>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rsidR="00B53C0C" w:rsidRPr="00A67753" w:rsidRDefault="00B53C0C" w:rsidP="00B53C0C">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hAnsi="Bookman Old Style"/>
          <w:sz w:val="24"/>
          <w:szCs w:val="24"/>
        </w:rPr>
        <w:t xml:space="preserve">     </w:t>
      </w: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rsidR="00B53C0C" w:rsidRPr="00A67753" w:rsidRDefault="00B53C0C" w:rsidP="00B53C0C">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A67753">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rsidR="00B53C0C" w:rsidRPr="00A67753" w:rsidRDefault="00B53C0C" w:rsidP="00B53C0C">
      <w:pPr>
        <w:numPr>
          <w:ilvl w:val="1"/>
          <w:numId w:val="15"/>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rsidR="00B53C0C" w:rsidRPr="00A67753" w:rsidRDefault="00B53C0C" w:rsidP="00B53C0C">
      <w:pPr>
        <w:numPr>
          <w:ilvl w:val="2"/>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B53C0C" w:rsidRPr="00A67753" w:rsidRDefault="00B53C0C" w:rsidP="00B53C0C">
      <w:pPr>
        <w:numPr>
          <w:ilvl w:val="2"/>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B53C0C" w:rsidRPr="00A67753" w:rsidRDefault="00B53C0C" w:rsidP="00B53C0C">
      <w:pPr>
        <w:numPr>
          <w:ilvl w:val="2"/>
          <w:numId w:val="24"/>
        </w:numPr>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bookmarkStart w:id="3" w:name="_heading=h.tyjcwt" w:colFirst="0" w:colLast="0"/>
      <w:bookmarkEnd w:id="3"/>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rsidR="00B53C0C" w:rsidRPr="00A67753" w:rsidRDefault="00B53C0C" w:rsidP="00B53C0C">
      <w:pPr>
        <w:numPr>
          <w:ilvl w:val="2"/>
          <w:numId w:val="1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rsidR="00B53C0C" w:rsidRPr="00A67753" w:rsidRDefault="00B53C0C" w:rsidP="00B53C0C">
      <w:pPr>
        <w:numPr>
          <w:ilvl w:val="2"/>
          <w:numId w:val="1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rsidR="00B53C0C" w:rsidRPr="00A67753" w:rsidRDefault="00B53C0C" w:rsidP="00B53C0C">
      <w:pPr>
        <w:numPr>
          <w:ilvl w:val="2"/>
          <w:numId w:val="1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rsidR="00B53C0C" w:rsidRPr="00A67753" w:rsidRDefault="00B53C0C" w:rsidP="00B53C0C">
      <w:pPr>
        <w:numPr>
          <w:ilvl w:val="2"/>
          <w:numId w:val="1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rsidR="00B53C0C" w:rsidRPr="00A67753" w:rsidRDefault="00B53C0C" w:rsidP="00B53C0C">
      <w:pPr>
        <w:numPr>
          <w:ilvl w:val="2"/>
          <w:numId w:val="16"/>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w:t>
      </w:r>
      <w:r w:rsidRPr="00A67753">
        <w:rPr>
          <w:rFonts w:ascii="Bookman Old Style" w:eastAsia="Arial" w:hAnsi="Bookman Old Style" w:cs="Arial"/>
          <w:color w:val="000000"/>
          <w:sz w:val="24"/>
          <w:szCs w:val="24"/>
        </w:rPr>
        <w:lastRenderedPageBreak/>
        <w:t>procedimental e autoridade competente definidos na referida Lei (Art. 159 da Lei n.º 14.133/2021);</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A67753">
        <w:rPr>
          <w:rFonts w:ascii="Bookman Old Style" w:eastAsia="Arial" w:hAnsi="Bookman Old Style" w:cs="Arial"/>
          <w:color w:val="000000"/>
          <w:sz w:val="24"/>
          <w:szCs w:val="24"/>
        </w:rPr>
        <w:t>CEIS</w:t>
      </w:r>
      <w:proofErr w:type="spellEnd"/>
      <w:r w:rsidRPr="00A67753">
        <w:rPr>
          <w:rFonts w:ascii="Bookman Old Style" w:eastAsia="Arial" w:hAnsi="Bookman Old Style" w:cs="Arial"/>
          <w:color w:val="000000"/>
          <w:sz w:val="24"/>
          <w:szCs w:val="24"/>
        </w:rPr>
        <w:t>) e no Cadastro Nacional de Empresas Punidas (</w:t>
      </w:r>
      <w:proofErr w:type="spellStart"/>
      <w:r w:rsidRPr="00A67753">
        <w:rPr>
          <w:rFonts w:ascii="Bookman Old Style" w:eastAsia="Arial" w:hAnsi="Bookman Old Style" w:cs="Arial"/>
          <w:color w:val="000000"/>
          <w:sz w:val="24"/>
          <w:szCs w:val="24"/>
        </w:rPr>
        <w:t>CNEP</w:t>
      </w:r>
      <w:proofErr w:type="spellEnd"/>
      <w:r w:rsidRPr="00A67753">
        <w:rPr>
          <w:rFonts w:ascii="Bookman Old Style" w:eastAsia="Arial" w:hAnsi="Bookman Old Style" w:cs="Arial"/>
          <w:color w:val="000000"/>
          <w:sz w:val="24"/>
          <w:szCs w:val="24"/>
        </w:rPr>
        <w:t>), instituídos no âmbito do Poder Executivo Federal (Art. 161 da Lei n.º 14.133/2021);</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B53C0C" w:rsidRPr="00A67753" w:rsidRDefault="00B53C0C" w:rsidP="00B53C0C">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sidRPr="00A67753">
        <w:rPr>
          <w:rFonts w:ascii="Bookman Old Style" w:eastAsia="Arial" w:hAnsi="Bookman Old Style" w:cs="Arial"/>
          <w:color w:val="000000"/>
          <w:sz w:val="24"/>
          <w:szCs w:val="24"/>
        </w:rPr>
        <w:t>.</w:t>
      </w:r>
    </w:p>
    <w:p w:rsidR="00B53C0C" w:rsidRPr="00A67753" w:rsidRDefault="00B53C0C" w:rsidP="00B53C0C">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B53C0C" w:rsidRDefault="00B53C0C" w:rsidP="00B53C0C">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color w:val="000000"/>
          <w:sz w:val="24"/>
          <w:szCs w:val="24"/>
        </w:rPr>
        <w:t>Cordilheira Alta SC, 24 de junho de 2024</w:t>
      </w: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B53C0C" w:rsidRPr="00A67753" w:rsidRDefault="00B53C0C" w:rsidP="00B53C0C">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bookmarkEnd w:id="0"/>
    <w:p w:rsidR="00B53C0C" w:rsidRPr="00664F20" w:rsidRDefault="00B53C0C" w:rsidP="00B53C0C">
      <w:pPr>
        <w:spacing w:after="0" w:line="240" w:lineRule="auto"/>
        <w:jc w:val="both"/>
        <w:rPr>
          <w:rFonts w:ascii="Bookman Old Style" w:hAnsi="Bookman Old Style"/>
          <w:sz w:val="24"/>
          <w:szCs w:val="24"/>
        </w:rPr>
      </w:pPr>
    </w:p>
    <w:p w:rsidR="00B53C0C" w:rsidRPr="00664F20" w:rsidRDefault="00B53C0C" w:rsidP="00B53C0C">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rsidR="00B53C0C" w:rsidRPr="00D50200" w:rsidRDefault="00B53C0C" w:rsidP="00B53C0C">
      <w:pPr>
        <w:spacing w:after="0" w:line="240" w:lineRule="auto"/>
        <w:jc w:val="center"/>
        <w:rPr>
          <w:rFonts w:ascii="OCR-B 10 BT" w:hAnsi="OCR-B 10 BT"/>
          <w:sz w:val="26"/>
          <w:szCs w:val="26"/>
        </w:rPr>
      </w:pPr>
      <w:r w:rsidRPr="00D50200">
        <w:rPr>
          <w:rFonts w:ascii="OCR-B 10 BT" w:hAnsi="OCR-B 10 BT"/>
          <w:sz w:val="26"/>
          <w:szCs w:val="26"/>
        </w:rPr>
        <w:t>Ana Eliza Tauchert</w:t>
      </w:r>
    </w:p>
    <w:p w:rsidR="00B53C0C" w:rsidRPr="006F0E75" w:rsidRDefault="00B53C0C" w:rsidP="00B53C0C">
      <w:pPr>
        <w:spacing w:after="0" w:line="240" w:lineRule="auto"/>
        <w:jc w:val="center"/>
        <w:rPr>
          <w:rFonts w:ascii="Corbel Light" w:hAnsi="Corbel Light"/>
          <w:sz w:val="24"/>
          <w:szCs w:val="24"/>
        </w:rPr>
      </w:pPr>
      <w:r w:rsidRPr="006F0E75">
        <w:rPr>
          <w:rFonts w:ascii="Corbel Light" w:hAnsi="Corbel Light"/>
          <w:sz w:val="24"/>
          <w:szCs w:val="24"/>
        </w:rPr>
        <w:t>Secretária de Educação</w:t>
      </w:r>
    </w:p>
    <w:p w:rsidR="00B53C0C" w:rsidRPr="00931DA2" w:rsidRDefault="00B53C0C" w:rsidP="00B53C0C">
      <w:pPr>
        <w:autoSpaceDE w:val="0"/>
        <w:autoSpaceDN w:val="0"/>
        <w:adjustRightInd w:val="0"/>
        <w:spacing w:after="0" w:line="240" w:lineRule="auto"/>
        <w:jc w:val="both"/>
        <w:rPr>
          <w:rFonts w:ascii="Bookman Old Style" w:hAnsi="Bookman Old Style" w:cs="Arial"/>
          <w:color w:val="000000"/>
          <w:sz w:val="24"/>
          <w:szCs w:val="24"/>
        </w:rPr>
      </w:pPr>
    </w:p>
    <w:p w:rsidR="00B53C0C" w:rsidRDefault="00B53C0C" w:rsidP="00B53C0C">
      <w:pPr>
        <w:autoSpaceDE w:val="0"/>
        <w:autoSpaceDN w:val="0"/>
        <w:adjustRightInd w:val="0"/>
        <w:spacing w:after="0" w:line="240" w:lineRule="auto"/>
        <w:jc w:val="both"/>
        <w:rPr>
          <w:rFonts w:ascii="Bookman Old Style" w:hAnsi="Bookman Old Style" w:cs="Arial"/>
          <w:color w:val="000000"/>
          <w:sz w:val="24"/>
          <w:szCs w:val="24"/>
        </w:rPr>
      </w:pPr>
    </w:p>
    <w:p w:rsidR="00B53C0C" w:rsidRPr="00664F20" w:rsidRDefault="00B53C0C" w:rsidP="00B53C0C">
      <w:pPr>
        <w:spacing w:after="0" w:line="240" w:lineRule="auto"/>
        <w:jc w:val="both"/>
        <w:rPr>
          <w:rFonts w:ascii="Bookman Old Style" w:hAnsi="Bookman Old Style"/>
          <w:sz w:val="24"/>
          <w:szCs w:val="24"/>
        </w:rPr>
      </w:pPr>
    </w:p>
    <w:p w:rsidR="00B53C0C" w:rsidRPr="00664F20" w:rsidRDefault="00B53C0C" w:rsidP="00B53C0C">
      <w:pPr>
        <w:spacing w:after="0" w:line="240" w:lineRule="auto"/>
        <w:jc w:val="center"/>
        <w:rPr>
          <w:rFonts w:ascii="Bookman Old Style" w:hAnsi="Bookman Old Style"/>
          <w:sz w:val="24"/>
          <w:szCs w:val="24"/>
        </w:rPr>
      </w:pPr>
      <w:r w:rsidRPr="00664F20">
        <w:rPr>
          <w:rFonts w:ascii="Bookman Old Style" w:hAnsi="Bookman Old Style"/>
          <w:sz w:val="24"/>
          <w:szCs w:val="24"/>
        </w:rPr>
        <w:t>___________________________________________________</w:t>
      </w:r>
    </w:p>
    <w:p w:rsidR="00B53C0C" w:rsidRPr="005E7433" w:rsidRDefault="00B53C0C" w:rsidP="00B53C0C">
      <w:pPr>
        <w:spacing w:after="0" w:line="240" w:lineRule="auto"/>
        <w:jc w:val="center"/>
        <w:rPr>
          <w:rFonts w:ascii="Bookman Old Style" w:hAnsi="Bookman Old Style"/>
          <w:sz w:val="24"/>
          <w:szCs w:val="24"/>
        </w:rPr>
      </w:pPr>
      <w:r w:rsidRPr="005E7433">
        <w:rPr>
          <w:rFonts w:ascii="Bookman Old Style" w:eastAsia="Arial" w:hAnsi="Bookman Old Style" w:cs="Arial"/>
          <w:color w:val="000000"/>
          <w:sz w:val="24"/>
          <w:szCs w:val="24"/>
        </w:rPr>
        <w:t xml:space="preserve">Ana Paula </w:t>
      </w:r>
      <w:proofErr w:type="spellStart"/>
      <w:r w:rsidRPr="005E7433">
        <w:rPr>
          <w:rFonts w:ascii="Bookman Old Style" w:eastAsia="Arial" w:hAnsi="Bookman Old Style" w:cs="Arial"/>
          <w:color w:val="000000"/>
          <w:sz w:val="24"/>
          <w:szCs w:val="24"/>
        </w:rPr>
        <w:t>Biesseki</w:t>
      </w:r>
      <w:proofErr w:type="spellEnd"/>
      <w:r w:rsidRPr="005E7433">
        <w:rPr>
          <w:rFonts w:ascii="Bookman Old Style" w:hAnsi="Bookman Old Style"/>
          <w:sz w:val="24"/>
          <w:szCs w:val="24"/>
        </w:rPr>
        <w:t xml:space="preserve"> </w:t>
      </w:r>
    </w:p>
    <w:p w:rsidR="00D55AF7" w:rsidRDefault="00B53C0C" w:rsidP="00B53C0C">
      <w:pPr>
        <w:jc w:val="center"/>
      </w:pPr>
      <w:r>
        <w:rPr>
          <w:rFonts w:ascii="Corbel Light" w:hAnsi="Corbel Light"/>
          <w:sz w:val="24"/>
          <w:szCs w:val="24"/>
        </w:rPr>
        <w:t xml:space="preserve">Fundo Municipal </w:t>
      </w:r>
      <w:bookmarkStart w:id="4" w:name="_GoBack"/>
      <w:bookmarkEnd w:id="4"/>
      <w:r>
        <w:rPr>
          <w:rFonts w:ascii="Corbel Light" w:hAnsi="Corbel Light"/>
          <w:sz w:val="24"/>
          <w:szCs w:val="24"/>
        </w:rPr>
        <w:t>da Saude</w:t>
      </w:r>
    </w:p>
    <w:sectPr w:rsidR="00D55AF7" w:rsidSect="00B53C0C">
      <w:pgSz w:w="11906" w:h="16838"/>
      <w:pgMar w:top="1417" w:right="99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CR-B 10 B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Nova Cond Light">
    <w:charset w:val="00"/>
    <w:family w:val="swiss"/>
    <w:pitch w:val="variable"/>
    <w:sig w:usb0="2000028F" w:usb1="00000002" w:usb2="00000000" w:usb3="00000000" w:csb0="0000019F" w:csb1="00000000"/>
  </w:font>
  <w:font w:name="Corbel Light">
    <w:panose1 w:val="020B03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3" w15:restartNumberingAfterBreak="0">
    <w:nsid w:val="54F3366F"/>
    <w:multiLevelType w:val="multilevel"/>
    <w:tmpl w:val="EF5C6402"/>
    <w:lvl w:ilvl="0">
      <w:start w:val="1"/>
      <w:numFmt w:val="upperRoman"/>
      <w:lvlText w:val="%1)"/>
      <w:lvlJc w:val="left"/>
      <w:pPr>
        <w:ind w:left="2136"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4"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5"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6"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8"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22"/>
  </w:num>
  <w:num w:numId="2">
    <w:abstractNumId w:val="23"/>
  </w:num>
  <w:num w:numId="3">
    <w:abstractNumId w:val="20"/>
  </w:num>
  <w:num w:numId="4">
    <w:abstractNumId w:val="28"/>
  </w:num>
  <w:num w:numId="5">
    <w:abstractNumId w:val="2"/>
  </w:num>
  <w:num w:numId="6">
    <w:abstractNumId w:val="9"/>
  </w:num>
  <w:num w:numId="7">
    <w:abstractNumId w:val="7"/>
  </w:num>
  <w:num w:numId="8">
    <w:abstractNumId w:val="19"/>
  </w:num>
  <w:num w:numId="9">
    <w:abstractNumId w:val="4"/>
  </w:num>
  <w:num w:numId="10">
    <w:abstractNumId w:val="11"/>
  </w:num>
  <w:num w:numId="11">
    <w:abstractNumId w:val="1"/>
  </w:num>
  <w:num w:numId="12">
    <w:abstractNumId w:val="16"/>
  </w:num>
  <w:num w:numId="13">
    <w:abstractNumId w:val="21"/>
  </w:num>
  <w:num w:numId="14">
    <w:abstractNumId w:val="17"/>
  </w:num>
  <w:num w:numId="15">
    <w:abstractNumId w:val="26"/>
  </w:num>
  <w:num w:numId="16">
    <w:abstractNumId w:val="10"/>
  </w:num>
  <w:num w:numId="17">
    <w:abstractNumId w:val="5"/>
  </w:num>
  <w:num w:numId="18">
    <w:abstractNumId w:val="8"/>
  </w:num>
  <w:num w:numId="19">
    <w:abstractNumId w:val="18"/>
  </w:num>
  <w:num w:numId="20">
    <w:abstractNumId w:val="27"/>
  </w:num>
  <w:num w:numId="21">
    <w:abstractNumId w:val="15"/>
  </w:num>
  <w:num w:numId="22">
    <w:abstractNumId w:val="13"/>
  </w:num>
  <w:num w:numId="23">
    <w:abstractNumId w:val="25"/>
  </w:num>
  <w:num w:numId="24">
    <w:abstractNumId w:val="3"/>
  </w:num>
  <w:num w:numId="25">
    <w:abstractNumId w:val="0"/>
  </w:num>
  <w:num w:numId="26">
    <w:abstractNumId w:val="6"/>
  </w:num>
  <w:num w:numId="27">
    <w:abstractNumId w:val="12"/>
  </w:num>
  <w:num w:numId="28">
    <w:abstractNumId w:val="14"/>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C0C"/>
    <w:rsid w:val="00B53C0C"/>
    <w:rsid w:val="00D55A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EB544D-7AB4-4458-831E-28062B18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3C0C"/>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53C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5237</Words>
  <Characters>28284</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1</cp:revision>
  <dcterms:created xsi:type="dcterms:W3CDTF">2024-06-28T12:44:00Z</dcterms:created>
  <dcterms:modified xsi:type="dcterms:W3CDTF">2024-06-28T12:44:00Z</dcterms:modified>
</cp:coreProperties>
</file>