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928" w:rsidRDefault="00413928" w:rsidP="00413928">
      <w:pPr>
        <w:spacing w:after="120" w:line="240" w:lineRule="auto"/>
        <w:mirrorIndents/>
        <w:jc w:val="center"/>
        <w:rPr>
          <w:rFonts w:ascii="Bookman Old Style" w:hAnsi="Bookman Old Style"/>
          <w:b/>
          <w:sz w:val="24"/>
          <w:szCs w:val="24"/>
        </w:rPr>
      </w:pPr>
      <w:r>
        <w:rPr>
          <w:rFonts w:ascii="Bookman Old Style" w:hAnsi="Bookman Old Style"/>
          <w:b/>
          <w:sz w:val="24"/>
          <w:szCs w:val="24"/>
        </w:rPr>
        <w:t>ATA DE REGISTRO</w:t>
      </w:r>
      <w:r w:rsidRPr="006A6721">
        <w:rPr>
          <w:rFonts w:ascii="Bookman Old Style" w:hAnsi="Bookman Old Style"/>
          <w:b/>
          <w:sz w:val="24"/>
          <w:szCs w:val="24"/>
        </w:rPr>
        <w:t xml:space="preserve"> Nº. </w:t>
      </w:r>
      <w:r>
        <w:rPr>
          <w:rFonts w:ascii="Bookman Old Style" w:hAnsi="Bookman Old Style"/>
          <w:b/>
          <w:sz w:val="24"/>
          <w:szCs w:val="24"/>
        </w:rPr>
        <w:t>40</w:t>
      </w:r>
      <w:r w:rsidRPr="006A6721">
        <w:rPr>
          <w:rFonts w:ascii="Bookman Old Style" w:hAnsi="Bookman Old Style"/>
          <w:b/>
          <w:sz w:val="24"/>
          <w:szCs w:val="24"/>
        </w:rPr>
        <w:t>/</w:t>
      </w:r>
      <w:r>
        <w:rPr>
          <w:rFonts w:ascii="Bookman Old Style" w:hAnsi="Bookman Old Style"/>
          <w:b/>
          <w:sz w:val="24"/>
          <w:szCs w:val="24"/>
        </w:rPr>
        <w:t>2024</w:t>
      </w:r>
    </w:p>
    <w:p w:rsidR="00413928" w:rsidRDefault="00413928" w:rsidP="00413928">
      <w:pPr>
        <w:spacing w:after="120" w:line="240" w:lineRule="auto"/>
        <w:mirrorIndents/>
        <w:jc w:val="center"/>
        <w:rPr>
          <w:rFonts w:ascii="Bookman Old Style" w:hAnsi="Bookman Old Style"/>
          <w:b/>
          <w:sz w:val="24"/>
          <w:szCs w:val="24"/>
        </w:rPr>
      </w:pPr>
    </w:p>
    <w:p w:rsidR="00413928" w:rsidRPr="006A6721" w:rsidRDefault="00413928" w:rsidP="00413928">
      <w:pPr>
        <w:spacing w:after="120" w:line="240" w:lineRule="auto"/>
        <w:mirrorIndents/>
        <w:rPr>
          <w:rFonts w:ascii="Bookman Old Style" w:hAnsi="Bookman Old Style"/>
          <w:b/>
          <w:sz w:val="24"/>
          <w:szCs w:val="24"/>
        </w:rPr>
      </w:pPr>
      <w:r>
        <w:rPr>
          <w:rFonts w:ascii="Bookman Old Style" w:hAnsi="Bookman Old Style"/>
          <w:b/>
          <w:sz w:val="24"/>
          <w:szCs w:val="24"/>
        </w:rPr>
        <w:t>PROCESSO ADMINISTRATIVO Nº 49/2024</w:t>
      </w:r>
    </w:p>
    <w:p w:rsidR="00413928" w:rsidRPr="00413928" w:rsidRDefault="00413928" w:rsidP="00413928">
      <w:pPr>
        <w:spacing w:after="120" w:line="240" w:lineRule="auto"/>
        <w:mirrorIndents/>
        <w:rPr>
          <w:rFonts w:ascii="Bookman Old Style" w:hAnsi="Bookman Old Style"/>
          <w:b/>
          <w:color w:val="FF0000"/>
        </w:rPr>
      </w:pPr>
      <w:r>
        <w:rPr>
          <w:rFonts w:ascii="Bookman Old Style" w:hAnsi="Bookman Old Style"/>
          <w:b/>
          <w:sz w:val="24"/>
          <w:szCs w:val="24"/>
        </w:rPr>
        <w:t xml:space="preserve">EDITAL DE PREGÃO ELETRÔNICO Nº 29/2024  </w:t>
      </w:r>
    </w:p>
    <w:p w:rsidR="00413928" w:rsidRPr="006A6721" w:rsidRDefault="00413928" w:rsidP="00413928">
      <w:pPr>
        <w:spacing w:after="120" w:line="240" w:lineRule="auto"/>
        <w:mirrorIndents/>
        <w:rPr>
          <w:rFonts w:ascii="Bookman Old Style" w:hAnsi="Bookman Old Style"/>
          <w:b/>
          <w:sz w:val="24"/>
          <w:szCs w:val="24"/>
        </w:rPr>
      </w:pP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 xml:space="preserve">pelo prefeito municipal </w:t>
      </w:r>
      <w:proofErr w:type="spellStart"/>
      <w:r>
        <w:rPr>
          <w:rFonts w:ascii="Bookman Old Style" w:hAnsi="Bookman Old Style"/>
          <w:sz w:val="24"/>
          <w:szCs w:val="24"/>
        </w:rPr>
        <w:t>Sr</w:t>
      </w:r>
      <w:proofErr w:type="spellEnd"/>
      <w:r>
        <w:rPr>
          <w:rFonts w:ascii="Bookman Old Style" w:hAnsi="Bookman Old Style"/>
          <w:sz w:val="24"/>
          <w:szCs w:val="24"/>
        </w:rPr>
        <w:t xml:space="preserve"> Clodoaldo </w:t>
      </w:r>
      <w:proofErr w:type="spellStart"/>
      <w:r>
        <w:rPr>
          <w:rFonts w:ascii="Bookman Old Style" w:hAnsi="Bookman Old Style"/>
          <w:sz w:val="24"/>
          <w:szCs w:val="24"/>
        </w:rPr>
        <w:t>Briancini</w:t>
      </w:r>
      <w:proofErr w:type="spellEnd"/>
      <w:r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proofErr w:type="spellStart"/>
      <w:r w:rsidR="00A70707" w:rsidRPr="00A70707">
        <w:rPr>
          <w:rFonts w:ascii="Bookman Old Style" w:hAnsi="Bookman Old Style"/>
          <w:b/>
          <w:sz w:val="24"/>
          <w:szCs w:val="24"/>
        </w:rPr>
        <w:t>BSC</w:t>
      </w:r>
      <w:proofErr w:type="spellEnd"/>
      <w:r w:rsidR="00A70707" w:rsidRPr="00A70707">
        <w:rPr>
          <w:rFonts w:ascii="Bookman Old Style" w:hAnsi="Bookman Old Style"/>
          <w:b/>
          <w:sz w:val="24"/>
          <w:szCs w:val="24"/>
        </w:rPr>
        <w:t xml:space="preserve"> QUIMICA LTDA</w:t>
      </w:r>
      <w:r w:rsidRPr="006A6721">
        <w:rPr>
          <w:rFonts w:ascii="Bookman Old Style" w:hAnsi="Bookman Old Style"/>
          <w:sz w:val="24"/>
          <w:szCs w:val="24"/>
        </w:rPr>
        <w:t xml:space="preserve">, pessoa jurídica de direito privado, inscrita no CNPJ n. </w:t>
      </w:r>
      <w:r w:rsidR="00A70707">
        <w:rPr>
          <w:rFonts w:ascii="Bookman Old Style" w:hAnsi="Bookman Old Style"/>
          <w:sz w:val="24"/>
          <w:szCs w:val="24"/>
        </w:rPr>
        <w:t>07.920.916/0001-09</w:t>
      </w:r>
      <w:r w:rsidRPr="006A6721">
        <w:rPr>
          <w:rFonts w:ascii="Bookman Old Style" w:hAnsi="Bookman Old Style"/>
          <w:sz w:val="24"/>
          <w:szCs w:val="24"/>
        </w:rPr>
        <w:t>, com sede na</w:t>
      </w:r>
      <w:r w:rsidR="00A70707">
        <w:rPr>
          <w:rFonts w:ascii="Bookman Old Style" w:hAnsi="Bookman Old Style"/>
          <w:sz w:val="24"/>
          <w:szCs w:val="24"/>
        </w:rPr>
        <w:t xml:space="preserve"> Rod Jorge Lacerda </w:t>
      </w:r>
      <w:proofErr w:type="spellStart"/>
      <w:r w:rsidR="00A70707">
        <w:rPr>
          <w:rFonts w:ascii="Bookman Old Style" w:hAnsi="Bookman Old Style"/>
          <w:sz w:val="24"/>
          <w:szCs w:val="24"/>
        </w:rPr>
        <w:t>Itajai</w:t>
      </w:r>
      <w:proofErr w:type="spellEnd"/>
      <w:r w:rsidR="00A70707">
        <w:rPr>
          <w:rFonts w:ascii="Bookman Old Style" w:hAnsi="Bookman Old Style"/>
          <w:sz w:val="24"/>
          <w:szCs w:val="24"/>
        </w:rPr>
        <w:t>/SC</w:t>
      </w:r>
      <w:r w:rsidRPr="006A6721">
        <w:rPr>
          <w:rFonts w:ascii="Bookman Old Style" w:hAnsi="Bookman Old Style"/>
          <w:sz w:val="24"/>
          <w:szCs w:val="24"/>
        </w:rPr>
        <w:t xml:space="preserve"> representada por</w:t>
      </w:r>
      <w:r w:rsidR="00A70707">
        <w:rPr>
          <w:rFonts w:ascii="Bookman Old Style" w:hAnsi="Bookman Old Style"/>
          <w:sz w:val="24"/>
          <w:szCs w:val="24"/>
        </w:rPr>
        <w:t xml:space="preserve"> Laerte </w:t>
      </w:r>
      <w:proofErr w:type="spellStart"/>
      <w:r w:rsidR="00A70707">
        <w:rPr>
          <w:rFonts w:ascii="Bookman Old Style" w:hAnsi="Bookman Old Style"/>
          <w:sz w:val="24"/>
          <w:szCs w:val="24"/>
        </w:rPr>
        <w:t>Kohler</w:t>
      </w:r>
      <w:proofErr w:type="spellEnd"/>
      <w:r w:rsidR="00A70707">
        <w:rPr>
          <w:rFonts w:ascii="Bookman Old Style" w:hAnsi="Bookman Old Style"/>
          <w:sz w:val="24"/>
          <w:szCs w:val="24"/>
        </w:rPr>
        <w:t xml:space="preserve"> </w:t>
      </w:r>
      <w:r w:rsidRPr="006A6721">
        <w:rPr>
          <w:rFonts w:ascii="Bookman Old Style" w:hAnsi="Bookman Old Style"/>
          <w:sz w:val="24"/>
          <w:szCs w:val="24"/>
        </w:rPr>
        <w:t>, inscrito(a) no CPF n.***.</w:t>
      </w:r>
      <w:r w:rsidR="00A70707">
        <w:rPr>
          <w:rFonts w:ascii="Bookman Old Style" w:hAnsi="Bookman Old Style"/>
          <w:sz w:val="24"/>
          <w:szCs w:val="24"/>
        </w:rPr>
        <w:t>547.409</w:t>
      </w:r>
      <w:r w:rsidR="00A70707" w:rsidRPr="006A6721">
        <w:rPr>
          <w:rFonts w:ascii="Bookman Old Style" w:hAnsi="Bookman Old Style"/>
          <w:sz w:val="24"/>
          <w:szCs w:val="24"/>
        </w:rPr>
        <w:t xml:space="preserve"> </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r w:rsidR="00A70707">
        <w:rPr>
          <w:rFonts w:ascii="Bookman Old Style" w:hAnsi="Bookman Old Style"/>
          <w:sz w:val="24"/>
          <w:szCs w:val="24"/>
        </w:rPr>
        <w:t>49</w:t>
      </w:r>
      <w:r w:rsidRPr="006A6721">
        <w:rPr>
          <w:rFonts w:ascii="Bookman Old Style" w:hAnsi="Bookman Old Style"/>
          <w:sz w:val="24"/>
          <w:szCs w:val="24"/>
        </w:rPr>
        <w:t>/</w:t>
      </w:r>
      <w:r>
        <w:rPr>
          <w:rFonts w:ascii="Bookman Old Style" w:hAnsi="Bookman Old Style"/>
          <w:sz w:val="24"/>
          <w:szCs w:val="24"/>
        </w:rPr>
        <w:t xml:space="preserve">2024, Pregão Eletrônico </w:t>
      </w:r>
      <w:r w:rsidRPr="006A6721">
        <w:rPr>
          <w:rFonts w:ascii="Bookman Old Style" w:hAnsi="Bookman Old Style"/>
          <w:sz w:val="24"/>
          <w:szCs w:val="24"/>
        </w:rPr>
        <w:t xml:space="preserve">nº </w:t>
      </w:r>
      <w:r w:rsidR="00A70707">
        <w:rPr>
          <w:rFonts w:ascii="Bookman Old Style" w:hAnsi="Bookman Old Style"/>
          <w:sz w:val="24"/>
          <w:szCs w:val="24"/>
        </w:rPr>
        <w:t>29</w:t>
      </w:r>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w:t>
      </w:r>
      <w:r>
        <w:rPr>
          <w:rFonts w:ascii="Bookman Old Style" w:hAnsi="Bookman Old Style"/>
          <w:sz w:val="24"/>
          <w:szCs w:val="24"/>
        </w:rPr>
        <w:t xml:space="preserve"> </w:t>
      </w:r>
      <w:r w:rsidRPr="006A6721">
        <w:rPr>
          <w:rFonts w:ascii="Bookman Old Style" w:hAnsi="Bookman Old Style"/>
          <w:sz w:val="24"/>
          <w:szCs w:val="24"/>
        </w:rPr>
        <w:t>14.133/20</w:t>
      </w:r>
      <w:r>
        <w:rPr>
          <w:rFonts w:ascii="Bookman Old Style" w:hAnsi="Bookman Old Style"/>
          <w:sz w:val="24"/>
          <w:szCs w:val="24"/>
        </w:rPr>
        <w:t>21 e Decreto Municipal n. 141/2023,</w:t>
      </w:r>
      <w:r w:rsidRPr="006A6721">
        <w:rPr>
          <w:rFonts w:ascii="Bookman Old Style" w:hAnsi="Bookman Old Style"/>
          <w:sz w:val="24"/>
          <w:szCs w:val="24"/>
        </w:rPr>
        <w:t xml:space="preserve"> atendidas as cláusulas e condições a seguir enunciadas:  </w:t>
      </w:r>
    </w:p>
    <w:p w:rsidR="00413928" w:rsidRPr="006A6721" w:rsidRDefault="00413928" w:rsidP="00413928">
      <w:pPr>
        <w:spacing w:after="120" w:line="240" w:lineRule="auto"/>
        <w:mirrorIndents/>
        <w:jc w:val="both"/>
        <w:rPr>
          <w:rFonts w:ascii="Bookman Old Style" w:hAnsi="Bookman Old Style"/>
          <w:sz w:val="24"/>
          <w:szCs w:val="24"/>
        </w:rPr>
      </w:pPr>
    </w:p>
    <w:p w:rsidR="00413928" w:rsidRPr="006A6721"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413928" w:rsidRPr="00D31DF0" w:rsidRDefault="00413928" w:rsidP="00413928">
      <w:pPr>
        <w:pStyle w:val="PargrafodaLista"/>
        <w:numPr>
          <w:ilvl w:val="1"/>
          <w:numId w:val="1"/>
        </w:numPr>
        <w:spacing w:after="120" w:line="240" w:lineRule="auto"/>
        <w:ind w:left="0" w:firstLine="0"/>
        <w:jc w:val="both"/>
        <w:rPr>
          <w:rFonts w:ascii="Bookman Old Style" w:hAnsi="Bookman Old Style"/>
          <w:b/>
          <w:bCs/>
          <w:sz w:val="24"/>
          <w:szCs w:val="24"/>
        </w:rPr>
      </w:pPr>
      <w:r w:rsidRPr="00D31DF0">
        <w:rPr>
          <w:rFonts w:ascii="Bookman Old Style" w:hAnsi="Bookman Old Style"/>
          <w:sz w:val="24"/>
          <w:szCs w:val="24"/>
        </w:rPr>
        <w:t>O objeto do presente contrato é o</w:t>
      </w:r>
      <w:r w:rsidRPr="00D31DF0">
        <w:rPr>
          <w:rFonts w:ascii="Bookman Old Style" w:hAnsi="Bookman Old Style" w:cs="Segoe UI"/>
          <w:b/>
          <w:bCs/>
          <w:sz w:val="24"/>
          <w:szCs w:val="24"/>
        </w:rPr>
        <w:t xml:space="preserve"> </w:t>
      </w:r>
      <w:r>
        <w:rPr>
          <w:rFonts w:ascii="Bookman Old Style" w:hAnsi="Bookman Old Style"/>
          <w:b/>
          <w:sz w:val="24"/>
          <w:szCs w:val="24"/>
        </w:rPr>
        <w:t>REGISTRO DE PREÇO PARA FUTURA E EVENTUAL</w:t>
      </w:r>
      <w:r w:rsidRPr="00D329BF">
        <w:rPr>
          <w:rFonts w:ascii="Bookman Old Style" w:hAnsi="Bookman Old Style"/>
          <w:b/>
          <w:sz w:val="24"/>
          <w:szCs w:val="24"/>
        </w:rPr>
        <w:t xml:space="preserve"> AQUISIÇÃO DE PRODUTOS </w:t>
      </w:r>
      <w:proofErr w:type="spellStart"/>
      <w:r w:rsidRPr="00D329BF">
        <w:rPr>
          <w:rFonts w:ascii="Bookman Old Style" w:hAnsi="Bookman Old Style"/>
          <w:b/>
          <w:sz w:val="24"/>
          <w:szCs w:val="24"/>
        </w:rPr>
        <w:t>QUIMICOS</w:t>
      </w:r>
      <w:proofErr w:type="spellEnd"/>
      <w:r w:rsidRPr="00D329BF">
        <w:rPr>
          <w:rFonts w:ascii="Bookman Old Style" w:hAnsi="Bookman Old Style"/>
          <w:b/>
          <w:sz w:val="24"/>
          <w:szCs w:val="24"/>
        </w:rPr>
        <w:t>, VISANDO A MANUTENÇÃO DA REDE DE ÁGUA DO MUNICÍPIO DE CORDILHEIRA ALTA</w:t>
      </w:r>
      <w:r w:rsidRPr="00D31DF0">
        <w:rPr>
          <w:rFonts w:ascii="Bookman Old Style" w:hAnsi="Bookman Old Style" w:cs="Segoe UI"/>
          <w:sz w:val="24"/>
          <w:szCs w:val="24"/>
        </w:rPr>
        <w:t>, conforme tabela a seguir:</w:t>
      </w:r>
    </w:p>
    <w:p w:rsidR="00413928" w:rsidRDefault="00413928" w:rsidP="00413928">
      <w:pPr>
        <w:spacing w:after="120" w:line="240" w:lineRule="auto"/>
        <w:jc w:val="both"/>
        <w:rPr>
          <w:rFonts w:ascii="Bookman Old Style" w:hAnsi="Bookman Old Style"/>
          <w:b/>
          <w:sz w:val="24"/>
          <w:szCs w:val="24"/>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2"/>
        <w:gridCol w:w="3463"/>
        <w:gridCol w:w="1134"/>
        <w:gridCol w:w="1276"/>
        <w:gridCol w:w="1275"/>
        <w:gridCol w:w="1701"/>
      </w:tblGrid>
      <w:tr w:rsidR="00A70707" w:rsidRPr="00A67753" w:rsidTr="004427E7">
        <w:trPr>
          <w:cantSplit/>
          <w:trHeight w:val="672"/>
          <w:tblHeader/>
        </w:trPr>
        <w:tc>
          <w:tcPr>
            <w:tcW w:w="932" w:type="dxa"/>
            <w:vAlign w:val="center"/>
          </w:tcPr>
          <w:p w:rsidR="00A70707" w:rsidRPr="00705205" w:rsidRDefault="00A70707" w:rsidP="004427E7">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ITEM</w:t>
            </w:r>
          </w:p>
        </w:tc>
        <w:tc>
          <w:tcPr>
            <w:tcW w:w="3463" w:type="dxa"/>
            <w:vAlign w:val="center"/>
          </w:tcPr>
          <w:p w:rsidR="00A70707" w:rsidRPr="00705205" w:rsidRDefault="00A70707" w:rsidP="004427E7">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ESPECIFICAÇÃO</w:t>
            </w:r>
          </w:p>
        </w:tc>
        <w:tc>
          <w:tcPr>
            <w:tcW w:w="1134" w:type="dxa"/>
            <w:vAlign w:val="center"/>
          </w:tcPr>
          <w:p w:rsidR="00A70707" w:rsidRPr="00705205" w:rsidRDefault="00A70707" w:rsidP="004427E7">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UNID. DE MEDIDA</w:t>
            </w:r>
          </w:p>
        </w:tc>
        <w:tc>
          <w:tcPr>
            <w:tcW w:w="1276" w:type="dxa"/>
            <w:vAlign w:val="center"/>
          </w:tcPr>
          <w:p w:rsidR="00A70707" w:rsidRPr="00705205" w:rsidRDefault="00A70707" w:rsidP="004427E7">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QUANT.</w:t>
            </w:r>
          </w:p>
        </w:tc>
        <w:tc>
          <w:tcPr>
            <w:tcW w:w="1275" w:type="dxa"/>
            <w:vAlign w:val="center"/>
          </w:tcPr>
          <w:p w:rsidR="00A70707" w:rsidRPr="00705205" w:rsidRDefault="00A70707" w:rsidP="004427E7">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 xml:space="preserve">VALOR </w:t>
            </w:r>
            <w:r w:rsidRPr="00705205">
              <w:rPr>
                <w:rFonts w:ascii="Bookman Old Style" w:eastAsia="Arial" w:hAnsi="Bookman Old Style" w:cs="Arial"/>
                <w:b/>
                <w:sz w:val="20"/>
                <w:szCs w:val="24"/>
              </w:rPr>
              <w:t>UNIT.</w:t>
            </w:r>
          </w:p>
        </w:tc>
        <w:tc>
          <w:tcPr>
            <w:tcW w:w="1701" w:type="dxa"/>
            <w:vAlign w:val="center"/>
          </w:tcPr>
          <w:p w:rsidR="00A70707" w:rsidRPr="00705205" w:rsidRDefault="00A70707" w:rsidP="004427E7">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VALOR TOTAL</w:t>
            </w:r>
          </w:p>
        </w:tc>
      </w:tr>
      <w:tr w:rsidR="00A70707" w:rsidRPr="00A67753" w:rsidTr="004427E7">
        <w:trPr>
          <w:cantSplit/>
          <w:trHeight w:val="343"/>
          <w:tblHeader/>
        </w:trPr>
        <w:tc>
          <w:tcPr>
            <w:tcW w:w="932" w:type="dxa"/>
          </w:tcPr>
          <w:p w:rsidR="00A70707" w:rsidRPr="00705205" w:rsidRDefault="00A70707" w:rsidP="004427E7">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04</w:t>
            </w:r>
          </w:p>
        </w:tc>
        <w:tc>
          <w:tcPr>
            <w:tcW w:w="3463" w:type="dxa"/>
          </w:tcPr>
          <w:p w:rsidR="00A70707" w:rsidRPr="00705205" w:rsidRDefault="00A70707" w:rsidP="004427E7">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Soda em escamas 98/99%</w:t>
            </w:r>
          </w:p>
        </w:tc>
        <w:tc>
          <w:tcPr>
            <w:tcW w:w="1134" w:type="dxa"/>
          </w:tcPr>
          <w:p w:rsidR="00A70707" w:rsidRPr="00705205" w:rsidRDefault="00A70707" w:rsidP="004427E7">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Kg</w:t>
            </w:r>
          </w:p>
        </w:tc>
        <w:tc>
          <w:tcPr>
            <w:tcW w:w="1276" w:type="dxa"/>
          </w:tcPr>
          <w:p w:rsidR="00A70707" w:rsidRPr="00705205" w:rsidRDefault="00A70707" w:rsidP="004427E7">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10.000</w:t>
            </w:r>
          </w:p>
        </w:tc>
        <w:tc>
          <w:tcPr>
            <w:tcW w:w="1275" w:type="dxa"/>
          </w:tcPr>
          <w:p w:rsidR="00A70707" w:rsidRPr="00705205" w:rsidRDefault="00A70707" w:rsidP="004427E7">
            <w:pPr>
              <w:pBdr>
                <w:top w:val="nil"/>
                <w:left w:val="nil"/>
                <w:bottom w:val="nil"/>
                <w:right w:val="nil"/>
                <w:between w:val="nil"/>
              </w:pBdr>
              <w:spacing w:after="120" w:line="240" w:lineRule="auto"/>
              <w:rPr>
                <w:rFonts w:ascii="Bookman Old Style" w:eastAsia="Arial" w:hAnsi="Bookman Old Style" w:cs="Arial"/>
                <w:color w:val="000000"/>
                <w:szCs w:val="24"/>
              </w:rPr>
            </w:pPr>
            <w:r w:rsidRPr="00705205">
              <w:rPr>
                <w:rFonts w:ascii="Bookman Old Style" w:eastAsia="Arial" w:hAnsi="Bookman Old Style" w:cs="Arial"/>
                <w:color w:val="000000"/>
                <w:szCs w:val="24"/>
              </w:rPr>
              <w:t>6,</w:t>
            </w:r>
            <w:r>
              <w:rPr>
                <w:rFonts w:ascii="Bookman Old Style" w:eastAsia="Arial" w:hAnsi="Bookman Old Style" w:cs="Arial"/>
                <w:color w:val="000000"/>
                <w:szCs w:val="24"/>
              </w:rPr>
              <w:t>39</w:t>
            </w:r>
          </w:p>
        </w:tc>
        <w:tc>
          <w:tcPr>
            <w:tcW w:w="1701" w:type="dxa"/>
          </w:tcPr>
          <w:p w:rsidR="00A70707" w:rsidRPr="00705205" w:rsidRDefault="00A70707" w:rsidP="004427E7">
            <w:pPr>
              <w:pBdr>
                <w:top w:val="nil"/>
                <w:left w:val="nil"/>
                <w:bottom w:val="nil"/>
                <w:right w:val="nil"/>
                <w:between w:val="nil"/>
              </w:pBdr>
              <w:spacing w:after="120" w:line="240" w:lineRule="auto"/>
              <w:rPr>
                <w:rFonts w:ascii="Bookman Old Style" w:eastAsia="Arial" w:hAnsi="Bookman Old Style" w:cs="Arial"/>
                <w:color w:val="000000"/>
                <w:szCs w:val="24"/>
              </w:rPr>
            </w:pPr>
            <w:r>
              <w:rPr>
                <w:rFonts w:ascii="Bookman Old Style" w:eastAsia="Arial" w:hAnsi="Bookman Old Style" w:cs="Arial"/>
                <w:color w:val="000000"/>
                <w:szCs w:val="24"/>
              </w:rPr>
              <w:t>6</w:t>
            </w:r>
            <w:r>
              <w:rPr>
                <w:rFonts w:ascii="Bookman Old Style" w:eastAsia="Arial" w:hAnsi="Bookman Old Style" w:cs="Arial"/>
                <w:color w:val="000000"/>
                <w:szCs w:val="24"/>
              </w:rPr>
              <w:t>3.900,00</w:t>
            </w:r>
          </w:p>
        </w:tc>
      </w:tr>
      <w:tr w:rsidR="00A70707" w:rsidRPr="00A67753" w:rsidTr="004427E7">
        <w:trPr>
          <w:cantSplit/>
          <w:trHeight w:val="358"/>
          <w:tblHeader/>
        </w:trPr>
        <w:tc>
          <w:tcPr>
            <w:tcW w:w="6805" w:type="dxa"/>
            <w:gridSpan w:val="4"/>
          </w:tcPr>
          <w:p w:rsidR="00A70707" w:rsidRPr="00705205" w:rsidRDefault="00A70707" w:rsidP="004427E7">
            <w:pPr>
              <w:pBdr>
                <w:top w:val="nil"/>
                <w:left w:val="nil"/>
                <w:bottom w:val="nil"/>
                <w:right w:val="nil"/>
                <w:between w:val="nil"/>
              </w:pBdr>
              <w:spacing w:after="120" w:line="240" w:lineRule="auto"/>
              <w:jc w:val="right"/>
              <w:rPr>
                <w:rFonts w:ascii="Bookman Old Style" w:eastAsia="Arial" w:hAnsi="Bookman Old Style" w:cs="Arial"/>
                <w:b/>
                <w:color w:val="000000"/>
                <w:szCs w:val="24"/>
              </w:rPr>
            </w:pPr>
            <w:r w:rsidRPr="00705205">
              <w:rPr>
                <w:rFonts w:ascii="Bookman Old Style" w:eastAsia="Arial" w:hAnsi="Bookman Old Style" w:cs="Arial"/>
                <w:b/>
                <w:color w:val="000000"/>
                <w:szCs w:val="24"/>
              </w:rPr>
              <w:t>TOTAIS (R$)</w:t>
            </w:r>
          </w:p>
        </w:tc>
        <w:tc>
          <w:tcPr>
            <w:tcW w:w="1275" w:type="dxa"/>
          </w:tcPr>
          <w:p w:rsidR="00A70707" w:rsidRPr="00705205" w:rsidRDefault="00A70707" w:rsidP="004427E7">
            <w:pPr>
              <w:pBdr>
                <w:top w:val="nil"/>
                <w:left w:val="nil"/>
                <w:bottom w:val="nil"/>
                <w:right w:val="nil"/>
                <w:between w:val="nil"/>
              </w:pBdr>
              <w:spacing w:after="120" w:line="240" w:lineRule="auto"/>
              <w:rPr>
                <w:rFonts w:ascii="Bookman Old Style" w:eastAsia="Arial" w:hAnsi="Bookman Old Style" w:cs="Arial"/>
                <w:color w:val="000000"/>
                <w:szCs w:val="24"/>
              </w:rPr>
            </w:pPr>
          </w:p>
        </w:tc>
        <w:tc>
          <w:tcPr>
            <w:tcW w:w="1701" w:type="dxa"/>
          </w:tcPr>
          <w:p w:rsidR="00A70707" w:rsidRPr="00705205" w:rsidRDefault="00A70707" w:rsidP="004427E7">
            <w:pPr>
              <w:pBdr>
                <w:top w:val="nil"/>
                <w:left w:val="nil"/>
                <w:bottom w:val="nil"/>
                <w:right w:val="nil"/>
                <w:between w:val="nil"/>
              </w:pBdr>
              <w:spacing w:after="120" w:line="240" w:lineRule="auto"/>
              <w:rPr>
                <w:rFonts w:ascii="Bookman Old Style" w:eastAsia="Arial" w:hAnsi="Bookman Old Style" w:cs="Arial"/>
                <w:b/>
                <w:color w:val="000000"/>
                <w:szCs w:val="24"/>
              </w:rPr>
            </w:pPr>
            <w:r>
              <w:rPr>
                <w:rFonts w:ascii="Bookman Old Style" w:eastAsia="Arial" w:hAnsi="Bookman Old Style" w:cs="Arial"/>
                <w:b/>
                <w:color w:val="000000"/>
                <w:szCs w:val="24"/>
              </w:rPr>
              <w:t>63.900,00</w:t>
            </w:r>
          </w:p>
        </w:tc>
      </w:tr>
    </w:tbl>
    <w:p w:rsidR="00413928" w:rsidRPr="009E77E7" w:rsidRDefault="00413928" w:rsidP="00413928">
      <w:pPr>
        <w:spacing w:after="120" w:line="240" w:lineRule="auto"/>
        <w:jc w:val="both"/>
        <w:rPr>
          <w:rFonts w:ascii="Bookman Old Style" w:hAnsi="Bookman Old Style"/>
          <w:b/>
          <w:sz w:val="24"/>
          <w:szCs w:val="24"/>
        </w:rPr>
      </w:pP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rsidR="00413928" w:rsidRDefault="00413928" w:rsidP="00413928">
      <w:pPr>
        <w:spacing w:after="120" w:line="240" w:lineRule="auto"/>
        <w:mirrorIndents/>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Pr>
          <w:rFonts w:ascii="Bookman Old Style" w:hAnsi="Bookman Old Style"/>
          <w:b/>
          <w:sz w:val="24"/>
          <w:szCs w:val="24"/>
        </w:rPr>
        <w:t>REGISTRADO</w:t>
      </w:r>
    </w:p>
    <w:p w:rsidR="00413928"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w:t>
      </w:r>
      <w:r w:rsidRPr="00A70707">
        <w:rPr>
          <w:rFonts w:ascii="Bookman Old Style" w:hAnsi="Bookman Old Style"/>
          <w:b/>
          <w:sz w:val="24"/>
          <w:szCs w:val="24"/>
        </w:rPr>
        <w:t xml:space="preserve">R$ </w:t>
      </w:r>
      <w:r w:rsidR="00A70707" w:rsidRPr="00A70707">
        <w:rPr>
          <w:rFonts w:ascii="Bookman Old Style" w:hAnsi="Bookman Old Style"/>
          <w:b/>
          <w:sz w:val="24"/>
          <w:szCs w:val="24"/>
        </w:rPr>
        <w:t>63.900,00</w:t>
      </w:r>
      <w:r>
        <w:rPr>
          <w:rFonts w:ascii="Bookman Old Style" w:hAnsi="Bookman Old Style"/>
          <w:sz w:val="24"/>
          <w:szCs w:val="24"/>
        </w:rPr>
        <w:t xml:space="preserve"> (</w:t>
      </w:r>
      <w:r w:rsidR="00A70707">
        <w:rPr>
          <w:rFonts w:ascii="Bookman Old Style" w:hAnsi="Bookman Old Style"/>
          <w:sz w:val="24"/>
          <w:szCs w:val="24"/>
        </w:rPr>
        <w:t>Sessenta e três mil e novecentos reais</w:t>
      </w:r>
      <w:r>
        <w:rPr>
          <w:rFonts w:ascii="Bookman Old Style" w:hAnsi="Bookman Old Style"/>
          <w:sz w:val="24"/>
          <w:szCs w:val="24"/>
        </w:rPr>
        <w:t>).</w:t>
      </w:r>
    </w:p>
    <w:p w:rsidR="00413928"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serão pagos na possível aquisição dos produtos/serviços são aqueles especificados na tabela do item 1.1 desta Ata.</w:t>
      </w:r>
    </w:p>
    <w:p w:rsidR="00413928"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a ela.  </w:t>
      </w:r>
    </w:p>
    <w:p w:rsidR="00413928"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rsidR="00413928"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2.4.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retenção do IRRF nas contratações de bens e serviços pelo Município de Cordilheira Alta/SC.</w:t>
      </w:r>
    </w:p>
    <w:p w:rsidR="00413928" w:rsidRDefault="00413928" w:rsidP="00413928">
      <w:pPr>
        <w:spacing w:after="120" w:line="240" w:lineRule="auto"/>
        <w:mirrorIndents/>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rsidR="00413928" w:rsidRPr="0016220B" w:rsidRDefault="00413928" w:rsidP="00413928">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 A ata de registro de preços terá vigência de 1 (um) ano</w:t>
      </w:r>
      <w:r>
        <w:rPr>
          <w:rFonts w:ascii="Bookman Old Style" w:hAnsi="Bookman Old Style"/>
          <w:sz w:val="24"/>
          <w:szCs w:val="24"/>
        </w:rPr>
        <w:t>, passível de prorrogação.</w:t>
      </w:r>
    </w:p>
    <w:p w:rsidR="00413928" w:rsidRDefault="00413928" w:rsidP="00413928">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3.1.1. Fica vedado efetuar acréscimos nos quantitativos estabelecidos n</w:t>
      </w:r>
      <w:r>
        <w:rPr>
          <w:rFonts w:ascii="Bookman Old Style" w:hAnsi="Bookman Old Style"/>
          <w:sz w:val="24"/>
          <w:szCs w:val="24"/>
        </w:rPr>
        <w:t>esta</w:t>
      </w:r>
      <w:r w:rsidRPr="0016220B">
        <w:rPr>
          <w:rFonts w:ascii="Bookman Old Style" w:hAnsi="Bookman Old Style"/>
          <w:sz w:val="24"/>
          <w:szCs w:val="24"/>
        </w:rPr>
        <w:t xml:space="preserve"> ata de registro de preços.</w:t>
      </w:r>
    </w:p>
    <w:p w:rsidR="00413928" w:rsidRPr="00470C4C" w:rsidRDefault="00413928" w:rsidP="00413928">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valores estimados nesta contratação poderão ser reajustados, para mais ou menos, de acordo com </w:t>
      </w:r>
      <w:r w:rsidRPr="00A67753">
        <w:rPr>
          <w:rFonts w:ascii="Bookman Old Style" w:eastAsia="Arial" w:hAnsi="Bookman Old Style" w:cs="Arial"/>
          <w:sz w:val="24"/>
          <w:szCs w:val="24"/>
        </w:rPr>
        <w:t xml:space="preserve">o </w:t>
      </w:r>
      <w:r w:rsidRPr="00A67753">
        <w:rPr>
          <w:rFonts w:ascii="Bookman Old Style" w:eastAsia="Arial" w:hAnsi="Bookman Old Style" w:cs="Arial"/>
          <w:color w:val="000000"/>
          <w:sz w:val="24"/>
          <w:szCs w:val="24"/>
        </w:rPr>
        <w:t>IPCA, divulgado pelo IBGE, ou pelo índice que venha a substituí-lo, nos termos fixados em Lei.</w:t>
      </w:r>
    </w:p>
    <w:p w:rsidR="00413928" w:rsidRDefault="00413928" w:rsidP="00413928">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3.2.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413928" w:rsidRPr="00E73FC2"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w:t>
      </w:r>
      <w:r>
        <w:rPr>
          <w:rFonts w:ascii="Bookman Old Style" w:hAnsi="Bookman Old Style"/>
          <w:b/>
          <w:sz w:val="24"/>
          <w:szCs w:val="24"/>
        </w:rPr>
        <w:t xml:space="preserve"> </w:t>
      </w:r>
      <w:r w:rsidRPr="006A6721">
        <w:rPr>
          <w:rFonts w:ascii="Bookman Old Style" w:hAnsi="Bookman Old Style"/>
          <w:b/>
          <w:sz w:val="24"/>
          <w:szCs w:val="24"/>
        </w:rPr>
        <w:t>- DO PRAZO, FORMA E LOCAL DE FORNECIMENTO</w:t>
      </w:r>
    </w:p>
    <w:p w:rsidR="00413928" w:rsidRPr="00A67753" w:rsidRDefault="00413928" w:rsidP="00413928">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413928" w:rsidRPr="00A67753" w:rsidRDefault="00413928" w:rsidP="00413928">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rsidR="00413928" w:rsidRPr="004E7445" w:rsidRDefault="00413928" w:rsidP="00413928">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4E7445">
        <w:rPr>
          <w:rFonts w:ascii="Bookman Old Style" w:eastAsia="Arial" w:hAnsi="Bookman Old Style" w:cs="Arial"/>
          <w:sz w:val="24"/>
          <w:szCs w:val="24"/>
        </w:rPr>
        <w:t>O prazo de entrega dos produtos é de 03 dias, contados da data de recebimento da autorização de fornecimento.</w:t>
      </w:r>
    </w:p>
    <w:p w:rsidR="00413928" w:rsidRDefault="00413928" w:rsidP="00413928">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4E7445">
        <w:rPr>
          <w:rFonts w:ascii="Bookman Old Style" w:eastAsia="Arial" w:hAnsi="Bookman Old Style" w:cs="Arial"/>
          <w:sz w:val="24"/>
          <w:szCs w:val="24"/>
        </w:rPr>
        <w:t xml:space="preserve">Os bens deverão ser entregues no seguinte endereço: Rua Ludovico </w:t>
      </w:r>
      <w:proofErr w:type="spellStart"/>
      <w:r w:rsidRPr="004E7445">
        <w:rPr>
          <w:rFonts w:ascii="Bookman Old Style" w:eastAsia="Arial" w:hAnsi="Bookman Old Style" w:cs="Arial"/>
          <w:sz w:val="24"/>
          <w:szCs w:val="24"/>
        </w:rPr>
        <w:t>Tozzo</w:t>
      </w:r>
      <w:proofErr w:type="spellEnd"/>
      <w:r w:rsidRPr="004E7445">
        <w:rPr>
          <w:rFonts w:ascii="Bookman Old Style" w:eastAsia="Arial" w:hAnsi="Bookman Old Style" w:cs="Arial"/>
          <w:sz w:val="24"/>
          <w:szCs w:val="24"/>
        </w:rPr>
        <w:t xml:space="preserve">, n°161 – Bairro: Ludovico </w:t>
      </w:r>
      <w:proofErr w:type="spellStart"/>
      <w:r w:rsidRPr="004E7445">
        <w:rPr>
          <w:rFonts w:ascii="Bookman Old Style" w:eastAsia="Arial" w:hAnsi="Bookman Old Style" w:cs="Arial"/>
          <w:sz w:val="24"/>
          <w:szCs w:val="24"/>
        </w:rPr>
        <w:t>Tozzo</w:t>
      </w:r>
      <w:proofErr w:type="spellEnd"/>
      <w:r w:rsidRPr="004E7445">
        <w:rPr>
          <w:rFonts w:ascii="Bookman Old Style" w:eastAsia="Arial" w:hAnsi="Bookman Old Style" w:cs="Arial"/>
          <w:sz w:val="24"/>
          <w:szCs w:val="24"/>
        </w:rPr>
        <w:t xml:space="preserve"> – Cordilheira Alta </w:t>
      </w:r>
      <w:r>
        <w:rPr>
          <w:rFonts w:ascii="Bookman Old Style" w:eastAsia="Arial" w:hAnsi="Bookman Old Style" w:cs="Arial"/>
          <w:sz w:val="24"/>
          <w:szCs w:val="24"/>
        </w:rPr>
        <w:t>–</w:t>
      </w:r>
      <w:r w:rsidRPr="004E7445">
        <w:rPr>
          <w:rFonts w:ascii="Bookman Old Style" w:eastAsia="Arial" w:hAnsi="Bookman Old Style" w:cs="Arial"/>
          <w:sz w:val="24"/>
          <w:szCs w:val="24"/>
        </w:rPr>
        <w:t xml:space="preserve"> SC</w:t>
      </w:r>
    </w:p>
    <w:p w:rsidR="00413928" w:rsidRDefault="00413928" w:rsidP="00413928">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Os produtos serão recebidos pela secretária administrativa e/ou o secretário da pasta junto com operador da ETA.</w:t>
      </w:r>
    </w:p>
    <w:p w:rsidR="00413928" w:rsidRDefault="00413928" w:rsidP="00413928">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Os produtos devem obedecer às características descritas abaixo:</w:t>
      </w:r>
    </w:p>
    <w:p w:rsidR="00413928" w:rsidRPr="00BF10F9" w:rsidRDefault="00413928" w:rsidP="00413928">
      <w:pPr>
        <w:pBdr>
          <w:top w:val="nil"/>
          <w:left w:val="nil"/>
          <w:bottom w:val="nil"/>
          <w:right w:val="nil"/>
          <w:between w:val="nil"/>
        </w:pBdr>
        <w:spacing w:after="120" w:line="240" w:lineRule="auto"/>
        <w:jc w:val="both"/>
        <w:rPr>
          <w:rFonts w:ascii="Bookman Old Style" w:hAnsi="Bookman Old Style"/>
        </w:rPr>
      </w:pPr>
      <w:bookmarkStart w:id="0" w:name="_GoBack"/>
      <w:bookmarkEnd w:id="0"/>
    </w:p>
    <w:p w:rsidR="00413928" w:rsidRPr="00BF10F9" w:rsidRDefault="00413928" w:rsidP="00413928">
      <w:pPr>
        <w:pBdr>
          <w:top w:val="nil"/>
          <w:left w:val="nil"/>
          <w:bottom w:val="nil"/>
          <w:right w:val="nil"/>
          <w:between w:val="nil"/>
        </w:pBdr>
        <w:spacing w:after="120" w:line="240" w:lineRule="auto"/>
        <w:jc w:val="both"/>
        <w:rPr>
          <w:rFonts w:ascii="Bookman Old Style" w:hAnsi="Bookman Old Style"/>
          <w:b/>
          <w:sz w:val="24"/>
        </w:rPr>
      </w:pPr>
      <w:r w:rsidRPr="00BF10F9">
        <w:rPr>
          <w:rFonts w:ascii="Bookman Old Style" w:hAnsi="Bookman Old Style"/>
        </w:rPr>
        <w:t xml:space="preserve">- </w:t>
      </w:r>
      <w:r w:rsidRPr="00BF10F9">
        <w:rPr>
          <w:rFonts w:ascii="Bookman Old Style" w:hAnsi="Bookman Old Style"/>
          <w:b/>
          <w:sz w:val="24"/>
        </w:rPr>
        <w:t>SODA EM ESCAMAS 98/99%</w:t>
      </w:r>
    </w:p>
    <w:p w:rsidR="00413928" w:rsidRPr="00BF10F9" w:rsidRDefault="00413928" w:rsidP="00413928">
      <w:pPr>
        <w:pBdr>
          <w:top w:val="nil"/>
          <w:left w:val="nil"/>
          <w:bottom w:val="nil"/>
          <w:right w:val="nil"/>
          <w:between w:val="nil"/>
        </w:pBdr>
        <w:spacing w:after="120" w:line="240" w:lineRule="auto"/>
        <w:jc w:val="both"/>
        <w:rPr>
          <w:rFonts w:ascii="Bookman Old Style" w:hAnsi="Bookman Old Style"/>
        </w:rPr>
      </w:pPr>
      <w:r w:rsidRPr="00BF10F9">
        <w:rPr>
          <w:rFonts w:ascii="Bookman Old Style" w:hAnsi="Bookman Old Style"/>
          <w:b/>
          <w:i/>
          <w:sz w:val="20"/>
        </w:rPr>
        <w:t>ASPECTO:</w:t>
      </w:r>
      <w:r w:rsidRPr="00BF10F9">
        <w:rPr>
          <w:rFonts w:ascii="Bookman Old Style" w:hAnsi="Bookman Old Style"/>
        </w:rPr>
        <w:t xml:space="preserve"> Sólidos em escamas incolores e branco, inodoro</w:t>
      </w:r>
    </w:p>
    <w:p w:rsidR="00413928" w:rsidRPr="00BF10F9" w:rsidRDefault="00413928" w:rsidP="00413928">
      <w:pPr>
        <w:pBdr>
          <w:top w:val="nil"/>
          <w:left w:val="nil"/>
          <w:bottom w:val="nil"/>
          <w:right w:val="nil"/>
          <w:between w:val="nil"/>
        </w:pBdr>
        <w:spacing w:after="120" w:line="240" w:lineRule="auto"/>
        <w:jc w:val="both"/>
        <w:rPr>
          <w:rFonts w:ascii="Bookman Old Style" w:hAnsi="Bookman Old Style"/>
        </w:rPr>
      </w:pPr>
      <w:r w:rsidRPr="00BF10F9">
        <w:rPr>
          <w:rFonts w:ascii="Bookman Old Style" w:hAnsi="Bookman Old Style"/>
          <w:b/>
          <w:i/>
          <w:sz w:val="20"/>
        </w:rPr>
        <w:t>PROPRIEDADES FÍSICO QUÍMICAS</w:t>
      </w:r>
      <w:r w:rsidRPr="00BF10F9">
        <w:rPr>
          <w:rFonts w:ascii="Bookman Old Style" w:hAnsi="Bookman Old Style"/>
        </w:rPr>
        <w:t>: Densidade relativa: 2,13 (água a 4°C=1) a 25 °C, Solúvel em água (1090 g/L a 20 °C). Facilmente solúvel em álcool (138,89 g/L) e em metanol (238,09 g/L).</w:t>
      </w:r>
    </w:p>
    <w:p w:rsidR="00413928" w:rsidRDefault="00413928" w:rsidP="00413928">
      <w:pPr>
        <w:pBdr>
          <w:top w:val="nil"/>
          <w:left w:val="nil"/>
          <w:bottom w:val="nil"/>
          <w:right w:val="nil"/>
          <w:between w:val="nil"/>
        </w:pBdr>
        <w:spacing w:after="120" w:line="240" w:lineRule="auto"/>
        <w:jc w:val="both"/>
        <w:rPr>
          <w:rFonts w:ascii="Bookman Old Style" w:hAnsi="Bookman Old Style"/>
        </w:rPr>
      </w:pPr>
      <w:r w:rsidRPr="00BF10F9">
        <w:rPr>
          <w:rFonts w:ascii="Bookman Old Style" w:hAnsi="Bookman Old Style"/>
          <w:b/>
          <w:i/>
          <w:sz w:val="20"/>
        </w:rPr>
        <w:t>EMBALAGENS:</w:t>
      </w:r>
      <w:r w:rsidRPr="00BF10F9">
        <w:rPr>
          <w:rFonts w:ascii="Bookman Old Style" w:hAnsi="Bookman Old Style"/>
        </w:rPr>
        <w:t xml:space="preserve"> Sacos de 25 kg</w:t>
      </w:r>
    </w:p>
    <w:p w:rsidR="00413928" w:rsidRPr="00C07E2D" w:rsidRDefault="00413928" w:rsidP="00413928">
      <w:pPr>
        <w:pBdr>
          <w:top w:val="nil"/>
          <w:left w:val="nil"/>
          <w:bottom w:val="nil"/>
          <w:right w:val="nil"/>
          <w:between w:val="nil"/>
        </w:pBdr>
        <w:spacing w:after="0" w:line="240" w:lineRule="auto"/>
        <w:jc w:val="both"/>
        <w:rPr>
          <w:rFonts w:ascii="Bookman Old Style" w:hAnsi="Bookman Old Style"/>
        </w:rPr>
      </w:pPr>
    </w:p>
    <w:p w:rsidR="00413928" w:rsidRPr="00A06538" w:rsidRDefault="00413928" w:rsidP="00413928">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06538">
        <w:rPr>
          <w:rFonts w:ascii="Bookman Old Style" w:eastAsia="Arial" w:hAnsi="Bookman Old Style" w:cs="Arial"/>
          <w:sz w:val="24"/>
          <w:szCs w:val="24"/>
        </w:rPr>
        <w:t>No caso de produtos perecíveis, o prazo de validade na data da entrega não poder</w:t>
      </w:r>
      <w:r>
        <w:rPr>
          <w:rFonts w:ascii="Bookman Old Style" w:eastAsia="Arial" w:hAnsi="Bookman Old Style" w:cs="Arial"/>
          <w:sz w:val="24"/>
          <w:szCs w:val="24"/>
        </w:rPr>
        <w:t>á ser inferior a 3 dias</w:t>
      </w:r>
      <w:r w:rsidRPr="00A06538">
        <w:rPr>
          <w:rFonts w:ascii="Bookman Old Style" w:eastAsia="Arial" w:hAnsi="Bookman Old Style" w:cs="Arial"/>
          <w:sz w:val="24"/>
          <w:szCs w:val="24"/>
        </w:rPr>
        <w:t xml:space="preserve"> do prazo total recomendado pelo fabricante.</w:t>
      </w:r>
    </w:p>
    <w:p w:rsidR="00413928" w:rsidRPr="005243B2" w:rsidRDefault="00413928" w:rsidP="00413928">
      <w:pPr>
        <w:pStyle w:val="SemEspaamento"/>
        <w:tabs>
          <w:tab w:val="left" w:pos="0"/>
        </w:tabs>
        <w:contextualSpacing/>
        <w:jc w:val="both"/>
        <w:rPr>
          <w:rFonts w:ascii="Bookman Old Style" w:hAnsi="Bookman Old Style"/>
          <w:szCs w:val="24"/>
        </w:rPr>
      </w:pPr>
    </w:p>
    <w:p w:rsidR="00413928" w:rsidRPr="005243B2" w:rsidRDefault="00413928" w:rsidP="00413928">
      <w:pPr>
        <w:spacing w:after="120" w:line="240" w:lineRule="auto"/>
        <w:mirrorIndents/>
        <w:jc w:val="both"/>
        <w:rPr>
          <w:rFonts w:ascii="Bookman Old Style" w:hAnsi="Bookman Old Style"/>
          <w:b/>
          <w:sz w:val="24"/>
          <w:szCs w:val="24"/>
        </w:rPr>
      </w:pPr>
      <w:r w:rsidRPr="005243B2">
        <w:rPr>
          <w:rFonts w:ascii="Bookman Old Style" w:hAnsi="Bookman Old Style"/>
          <w:b/>
          <w:sz w:val="24"/>
          <w:szCs w:val="24"/>
        </w:rPr>
        <w:t xml:space="preserve">CLÁUSULA QUINTA - DAS CONDIÇÕES DE PAGAMENTO </w:t>
      </w:r>
    </w:p>
    <w:p w:rsidR="00413928" w:rsidRDefault="00413928" w:rsidP="00413928">
      <w:pPr>
        <w:spacing w:after="120" w:line="240" w:lineRule="auto"/>
        <w:mirrorIndents/>
        <w:jc w:val="both"/>
        <w:rPr>
          <w:rFonts w:ascii="Bookman Old Style" w:hAnsi="Bookman Old Style"/>
          <w:sz w:val="24"/>
          <w:szCs w:val="24"/>
        </w:rPr>
      </w:pPr>
      <w:r w:rsidRPr="005243B2">
        <w:rPr>
          <w:rFonts w:ascii="Bookman Old Style" w:hAnsi="Bookman Old Style"/>
          <w:sz w:val="24"/>
          <w:szCs w:val="24"/>
        </w:rPr>
        <w:lastRenderedPageBreak/>
        <w:t>5.1. O pagamento será</w:t>
      </w:r>
      <w:r w:rsidRPr="00652DFB">
        <w:rPr>
          <w:rFonts w:ascii="Bookman Old Style" w:hAnsi="Bookman Old Style"/>
          <w:sz w:val="24"/>
          <w:szCs w:val="24"/>
        </w:rPr>
        <w:t xml:space="preserve"> realizado em até 30 (trinta) dias</w:t>
      </w:r>
      <w:r>
        <w:rPr>
          <w:rFonts w:ascii="Bookman Old Style" w:hAnsi="Bookman Old Style"/>
          <w:sz w:val="24"/>
          <w:szCs w:val="24"/>
        </w:rPr>
        <w:t xml:space="preserve"> d</w:t>
      </w:r>
      <w:r w:rsidRPr="00D021F5">
        <w:rPr>
          <w:rFonts w:ascii="Bookman Old Style" w:hAnsi="Bookman Old Style"/>
          <w:sz w:val="24"/>
          <w:szCs w:val="24"/>
        </w:rPr>
        <w:t xml:space="preserve">a </w:t>
      </w:r>
      <w:r>
        <w:rPr>
          <w:rFonts w:ascii="Bookman Old Style" w:hAnsi="Bookman Old Style"/>
          <w:sz w:val="24"/>
          <w:szCs w:val="24"/>
        </w:rPr>
        <w:t>entrega,</w:t>
      </w:r>
      <w:r w:rsidRPr="00D021F5">
        <w:rPr>
          <w:rFonts w:ascii="Bookman Old Style" w:hAnsi="Bookman Old Style"/>
          <w:sz w:val="24"/>
          <w:szCs w:val="24"/>
        </w:rPr>
        <w:t xml:space="preserve"> </w:t>
      </w:r>
      <w:r>
        <w:rPr>
          <w:rFonts w:ascii="Bookman Old Style" w:hAnsi="Bookman Old Style"/>
          <w:sz w:val="24"/>
          <w:szCs w:val="24"/>
        </w:rPr>
        <w:t xml:space="preserve">mediante a </w:t>
      </w:r>
      <w:r w:rsidRPr="00D021F5">
        <w:rPr>
          <w:rFonts w:ascii="Bookman Old Style" w:hAnsi="Bookman Old Style"/>
          <w:sz w:val="24"/>
          <w:szCs w:val="24"/>
        </w:rPr>
        <w:t>apresentação d</w:t>
      </w:r>
      <w:r>
        <w:rPr>
          <w:rFonts w:ascii="Bookman Old Style" w:hAnsi="Bookman Old Style"/>
          <w:sz w:val="24"/>
          <w:szCs w:val="24"/>
        </w:rPr>
        <w:t xml:space="preserve">as respectivas </w:t>
      </w:r>
      <w:r w:rsidRPr="00D021F5">
        <w:rPr>
          <w:rFonts w:ascii="Bookman Old Style" w:hAnsi="Bookman Old Style"/>
          <w:sz w:val="24"/>
          <w:szCs w:val="24"/>
        </w:rPr>
        <w:t xml:space="preserve">notas fiscais, </w:t>
      </w:r>
      <w:r>
        <w:rPr>
          <w:rFonts w:ascii="Bookman Old Style" w:hAnsi="Bookman Old Style"/>
          <w:sz w:val="24"/>
          <w:szCs w:val="24"/>
        </w:rPr>
        <w:t xml:space="preserve">as quais deverão estar </w:t>
      </w:r>
      <w:r w:rsidRPr="00D021F5">
        <w:rPr>
          <w:rFonts w:ascii="Bookman Old Style" w:hAnsi="Bookman Old Style"/>
          <w:sz w:val="24"/>
          <w:szCs w:val="24"/>
        </w:rPr>
        <w:t xml:space="preserve">assinadas pelo Fiscal de Contrato ou responsável pelo evento; </w:t>
      </w:r>
    </w:p>
    <w:p w:rsidR="00413928" w:rsidRPr="005243B2"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w:t>
      </w:r>
      <w:r w:rsidRPr="005243B2">
        <w:rPr>
          <w:rFonts w:ascii="Bookman Old Style" w:hAnsi="Bookman Old Style"/>
          <w:sz w:val="24"/>
          <w:szCs w:val="24"/>
        </w:rPr>
        <w:t xml:space="preserve">contidas na </w:t>
      </w:r>
      <w:proofErr w:type="spellStart"/>
      <w:r w:rsidRPr="005243B2">
        <w:rPr>
          <w:rFonts w:ascii="Bookman Old Style" w:hAnsi="Bookman Old Style"/>
          <w:sz w:val="24"/>
          <w:szCs w:val="24"/>
        </w:rPr>
        <w:t>AF</w:t>
      </w:r>
      <w:proofErr w:type="spellEnd"/>
      <w:r w:rsidRPr="005243B2">
        <w:rPr>
          <w:rFonts w:ascii="Bookman Old Style" w:hAnsi="Bookman Old Style"/>
          <w:sz w:val="24"/>
          <w:szCs w:val="24"/>
        </w:rPr>
        <w:t xml:space="preserve"> emitida pelo Munícipio. </w:t>
      </w:r>
    </w:p>
    <w:p w:rsidR="00413928" w:rsidRPr="003F5C6E" w:rsidRDefault="00413928" w:rsidP="00413928">
      <w:pPr>
        <w:spacing w:after="120" w:line="240" w:lineRule="auto"/>
        <w:mirrorIndents/>
        <w:jc w:val="both"/>
        <w:rPr>
          <w:rFonts w:ascii="Bookman Old Style" w:hAnsi="Bookman Old Style"/>
          <w:sz w:val="24"/>
          <w:szCs w:val="24"/>
        </w:rPr>
      </w:pPr>
      <w:r w:rsidRPr="003F5C6E">
        <w:rPr>
          <w:rFonts w:ascii="Bookman Old Style" w:hAnsi="Bookman Old Style"/>
          <w:sz w:val="24"/>
          <w:szCs w:val="24"/>
        </w:rPr>
        <w:t>5.3. As despesas decorrentes da execução deste objeto correrão a cargo da seguinte dotação: (Projeto Atividade 2.208 – Elemento 3.3.90 – Despesa 100, previstas na Lei Orçamentária do Exercício de 2024.)</w:t>
      </w:r>
    </w:p>
    <w:p w:rsidR="00413928" w:rsidRPr="006A6721" w:rsidRDefault="00413928" w:rsidP="00413928">
      <w:pPr>
        <w:spacing w:after="0" w:line="240" w:lineRule="auto"/>
        <w:mirrorIndents/>
        <w:jc w:val="both"/>
        <w:rPr>
          <w:rFonts w:ascii="Bookman Old Style" w:hAnsi="Bookman Old Style"/>
          <w:sz w:val="24"/>
          <w:szCs w:val="24"/>
        </w:rPr>
      </w:pPr>
    </w:p>
    <w:p w:rsidR="00413928" w:rsidRPr="00546A8B" w:rsidRDefault="00413928" w:rsidP="00413928">
      <w:pPr>
        <w:spacing w:after="120" w:line="240" w:lineRule="auto"/>
        <w:mirrorIndents/>
        <w:jc w:val="both"/>
        <w:rPr>
          <w:rFonts w:ascii="Bookman Old Style" w:hAnsi="Bookman Old Style"/>
          <w:b/>
          <w:bCs/>
          <w:sz w:val="24"/>
          <w:szCs w:val="24"/>
        </w:rPr>
      </w:pPr>
      <w:r w:rsidRPr="006A6721">
        <w:rPr>
          <w:rFonts w:ascii="Bookman Old Style" w:hAnsi="Bookman Old Style"/>
          <w:b/>
          <w:sz w:val="24"/>
          <w:szCs w:val="24"/>
        </w:rPr>
        <w:t xml:space="preserve">CLÁUSULA SEXTA - DA </w:t>
      </w:r>
      <w:r w:rsidRPr="00546A8B">
        <w:rPr>
          <w:rFonts w:ascii="Bookman Old Style" w:hAnsi="Bookman Old Style"/>
          <w:b/>
          <w:bCs/>
          <w:sz w:val="24"/>
          <w:szCs w:val="24"/>
        </w:rPr>
        <w:t>SUBCONTRATAÇ</w:t>
      </w:r>
      <w:r>
        <w:rPr>
          <w:rFonts w:ascii="Bookman Old Style" w:hAnsi="Bookman Old Style"/>
          <w:b/>
          <w:bCs/>
          <w:sz w:val="24"/>
          <w:szCs w:val="24"/>
        </w:rPr>
        <w:t>Ã</w:t>
      </w:r>
      <w:r w:rsidRPr="00546A8B">
        <w:rPr>
          <w:rFonts w:ascii="Bookman Old Style" w:hAnsi="Bookman Old Style"/>
          <w:b/>
          <w:bCs/>
          <w:sz w:val="24"/>
          <w:szCs w:val="24"/>
        </w:rPr>
        <w:t>O</w:t>
      </w:r>
    </w:p>
    <w:p w:rsidR="00413928" w:rsidRPr="00052572" w:rsidRDefault="00413928" w:rsidP="00413928">
      <w:pPr>
        <w:pStyle w:val="PargrafodaLista"/>
        <w:tabs>
          <w:tab w:val="left" w:pos="0"/>
          <w:tab w:val="left" w:pos="426"/>
        </w:tabs>
        <w:spacing w:after="120" w:line="240" w:lineRule="auto"/>
        <w:ind w:left="0"/>
        <w:mirrorIndents/>
        <w:jc w:val="both"/>
        <w:rPr>
          <w:rFonts w:ascii="Bookman Old Style" w:hAnsi="Bookman Old Style" w:cs="Miriam Fixed"/>
          <w:sz w:val="24"/>
          <w:szCs w:val="24"/>
        </w:rPr>
      </w:pPr>
      <w:r w:rsidRPr="005B23E0">
        <w:rPr>
          <w:rFonts w:ascii="Bookman Old Style" w:hAnsi="Bookman Old Style"/>
          <w:sz w:val="24"/>
          <w:szCs w:val="24"/>
        </w:rPr>
        <w:t xml:space="preserve">6.1. </w:t>
      </w:r>
      <w:r w:rsidRPr="000D524A">
        <w:rPr>
          <w:rFonts w:ascii="Bookman Old Style" w:hAnsi="Bookman Old Style" w:cs="Miriam Fixed"/>
          <w:sz w:val="24"/>
          <w:szCs w:val="24"/>
        </w:rPr>
        <w:t xml:space="preserve">- </w:t>
      </w:r>
      <w:r w:rsidRPr="00546A8B">
        <w:rPr>
          <w:rFonts w:ascii="Bookman Old Style" w:hAnsi="Bookman Old Style"/>
          <w:bCs/>
          <w:sz w:val="24"/>
          <w:szCs w:val="24"/>
        </w:rPr>
        <w:t xml:space="preserve"> </w:t>
      </w:r>
      <w:r w:rsidRPr="00780165">
        <w:rPr>
          <w:rFonts w:ascii="Bookman Old Style" w:hAnsi="Bookman Old Style"/>
          <w:bCs/>
          <w:sz w:val="24"/>
          <w:szCs w:val="24"/>
        </w:rPr>
        <w:t>É vedada a subcontratação ou transferência total ou parcial do objeto da licitação</w:t>
      </w:r>
      <w:r w:rsidRPr="00546A8B">
        <w:rPr>
          <w:rFonts w:ascii="Bookman Old Style" w:hAnsi="Bookman Old Style"/>
          <w:bCs/>
          <w:sz w:val="24"/>
          <w:szCs w:val="24"/>
        </w:rPr>
        <w:t>.</w:t>
      </w:r>
    </w:p>
    <w:p w:rsidR="00413928" w:rsidRPr="007803F5" w:rsidRDefault="00413928" w:rsidP="00413928">
      <w:pPr>
        <w:pStyle w:val="PargrafodaLista"/>
        <w:tabs>
          <w:tab w:val="left" w:pos="426"/>
          <w:tab w:val="left" w:pos="709"/>
        </w:tabs>
        <w:spacing w:after="120" w:line="240" w:lineRule="auto"/>
        <w:ind w:left="0"/>
        <w:mirrorIndents/>
        <w:jc w:val="both"/>
        <w:rPr>
          <w:rFonts w:ascii="Bookman Old Style" w:hAnsi="Bookman Old Style"/>
          <w:b/>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rsidR="00413928" w:rsidRPr="001A39BD" w:rsidRDefault="00413928" w:rsidP="00413928">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rsidR="00413928" w:rsidRPr="001A39BD" w:rsidRDefault="00413928" w:rsidP="00413928">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7.1.1. Ainda incorrerá no art. 156, inciso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da lei 14.133/2021 quando da necessidade de extinção contratual.</w:t>
      </w:r>
    </w:p>
    <w:p w:rsidR="00413928" w:rsidRPr="001A39BD" w:rsidRDefault="00413928" w:rsidP="00413928">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 A rescisão contratual poderá ser:  </w:t>
      </w:r>
    </w:p>
    <w:p w:rsidR="00413928" w:rsidRPr="001A39BD" w:rsidRDefault="00413928" w:rsidP="00413928">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7.2.1. Determinada por ato unilateral da Administração, nos casos enunciados nos incisos I a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e </w:t>
      </w:r>
      <w:proofErr w:type="spellStart"/>
      <w:r w:rsidRPr="001A39BD">
        <w:rPr>
          <w:rFonts w:ascii="Bookman Old Style" w:hAnsi="Bookman Old Style"/>
          <w:sz w:val="24"/>
          <w:szCs w:val="24"/>
        </w:rPr>
        <w:t>IX</w:t>
      </w:r>
      <w:proofErr w:type="spellEnd"/>
      <w:r w:rsidRPr="001A39BD">
        <w:rPr>
          <w:rFonts w:ascii="Bookman Old Style" w:hAnsi="Bookman Old Style"/>
          <w:sz w:val="24"/>
          <w:szCs w:val="24"/>
        </w:rPr>
        <w:t xml:space="preserve"> do artigo 137 da Lei Federal nº 14.133/2021;  </w:t>
      </w:r>
    </w:p>
    <w:p w:rsidR="00413928" w:rsidRPr="001A39BD" w:rsidRDefault="00413928" w:rsidP="00413928">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7.2.2. Amigável, mediante autorização da autoridade competente, reduzida a termo no processo de licitação, desde que demonstrada conveniência para a Administração.</w:t>
      </w:r>
    </w:p>
    <w:p w:rsidR="00413928" w:rsidRPr="006A6721" w:rsidRDefault="00413928" w:rsidP="00413928">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Pr="006A6721">
        <w:rPr>
          <w:rFonts w:ascii="Bookman Old Style" w:hAnsi="Bookman Old Style"/>
          <w:sz w:val="24"/>
          <w:szCs w:val="24"/>
        </w:rPr>
        <w:t xml:space="preserve">   </w:t>
      </w:r>
    </w:p>
    <w:p w:rsidR="00413928" w:rsidRPr="006A6721" w:rsidRDefault="00413928" w:rsidP="00413928">
      <w:pPr>
        <w:spacing w:after="120" w:line="240" w:lineRule="auto"/>
        <w:mirrorIndents/>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413928" w:rsidRPr="00F2623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rsidR="00413928" w:rsidRPr="00F26238" w:rsidRDefault="00413928" w:rsidP="00413928">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413928" w:rsidRPr="00F26238" w:rsidRDefault="00413928" w:rsidP="00413928">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rsidR="00413928" w:rsidRDefault="00413928" w:rsidP="00413928">
      <w:pPr>
        <w:spacing w:after="12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Pr>
          <w:rFonts w:ascii="Bookman Old Style" w:hAnsi="Bookman Old Style"/>
          <w:sz w:val="24"/>
          <w:szCs w:val="24"/>
        </w:rPr>
        <w:t>.</w:t>
      </w:r>
    </w:p>
    <w:p w:rsidR="00413928" w:rsidRPr="006A6721" w:rsidRDefault="00413928" w:rsidP="00413928">
      <w:pPr>
        <w:spacing w:after="120" w:line="240" w:lineRule="auto"/>
        <w:mirrorIndents/>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Comunicar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no prazo máximo de </w:t>
      </w:r>
      <w:r>
        <w:rPr>
          <w:rFonts w:ascii="Bookman Old Style" w:eastAsia="Arial" w:hAnsi="Bookman Old Style" w:cs="Arial"/>
          <w:color w:val="000000"/>
          <w:sz w:val="24"/>
          <w:szCs w:val="24"/>
        </w:rPr>
        <w:t>24</w:t>
      </w:r>
      <w:r w:rsidRPr="009459C1">
        <w:rPr>
          <w:rFonts w:ascii="Bookman Old Style" w:eastAsia="Arial" w:hAnsi="Bookman Old Style" w:cs="Arial"/>
          <w:color w:val="000000"/>
          <w:sz w:val="24"/>
          <w:szCs w:val="24"/>
        </w:rPr>
        <w:t xml:space="preserve"> horas que antecede a data da entrega, os motivos que impossibilitem o cumprimento do prazo previsto, com a devida comprovação;</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945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9459C1">
        <w:rPr>
          <w:rFonts w:ascii="Bookman Old Style" w:eastAsia="Arial" w:hAnsi="Bookman Old Style" w:cs="Arial"/>
          <w:color w:val="000000"/>
          <w:sz w:val="24"/>
          <w:szCs w:val="24"/>
        </w:rPr>
        <w:t>SICAF</w:t>
      </w:r>
      <w:proofErr w:type="spellEnd"/>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413928" w:rsidRPr="009459C1" w:rsidRDefault="00413928" w:rsidP="00413928">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1) Prova de regularidade relativa à Seguridade Social; </w:t>
      </w:r>
    </w:p>
    <w:p w:rsidR="00413928" w:rsidRPr="009459C1" w:rsidRDefault="00413928" w:rsidP="00413928">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2) Certidão conjunta relativa aos tributos federais e à Dívida Ativa da União; </w:t>
      </w:r>
    </w:p>
    <w:p w:rsidR="00413928" w:rsidRPr="009459C1" w:rsidRDefault="00413928" w:rsidP="00413928">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w:t>
      </w:r>
    </w:p>
    <w:p w:rsidR="00413928" w:rsidRPr="009459C1" w:rsidRDefault="00413928" w:rsidP="00413928">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4) Certidão de Regularidade do FGTS – CRF; e </w:t>
      </w:r>
    </w:p>
    <w:p w:rsidR="00413928" w:rsidRPr="009459C1" w:rsidRDefault="00413928" w:rsidP="00413928">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5) Certidão Negativa de Débitos Trabalhistas – </w:t>
      </w:r>
      <w:proofErr w:type="spellStart"/>
      <w:r w:rsidRPr="009459C1">
        <w:rPr>
          <w:rFonts w:ascii="Bookman Old Style" w:eastAsia="Arial" w:hAnsi="Bookman Old Style" w:cs="Arial"/>
          <w:color w:val="000000"/>
          <w:sz w:val="24"/>
          <w:szCs w:val="24"/>
        </w:rPr>
        <w:t>CNDT</w:t>
      </w:r>
      <w:proofErr w:type="spellEnd"/>
      <w:r w:rsidRPr="009459C1">
        <w:rPr>
          <w:rFonts w:ascii="Bookman Old Style" w:eastAsia="Arial" w:hAnsi="Bookman Old Style" w:cs="Arial"/>
          <w:color w:val="000000"/>
          <w:sz w:val="24"/>
          <w:szCs w:val="24"/>
        </w:rPr>
        <w:t>.</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9459C1">
        <w:rPr>
          <w:rFonts w:ascii="Bookman Old Style" w:eastAsia="Arial" w:hAnsi="Bookman Old Style" w:cs="Arial"/>
          <w:bCs/>
          <w:color w:val="000000"/>
          <w:sz w:val="24"/>
          <w:szCs w:val="24"/>
        </w:rPr>
        <w:t>CONTRATANTE e não poderá onerar o objeto do contrato;</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Paralisar, por determinação do CONTRATANTE, qualquer atividade que não esteja sendo executada de acordo com a boa</w:t>
      </w:r>
      <w:r w:rsidRPr="009459C1">
        <w:rPr>
          <w:rFonts w:ascii="Bookman Old Style" w:eastAsia="Arial" w:hAnsi="Bookman Old Style" w:cs="Arial"/>
          <w:color w:val="000000"/>
          <w:sz w:val="24"/>
          <w:szCs w:val="24"/>
        </w:rPr>
        <w:t xml:space="preserve"> técnica ou que ponha em risco a segurança de pessoas ou bens de terceiros;</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Guardar sigilo sobre todas as informações obtidas em decorrência do cumprimento do contrato; </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413928" w:rsidRPr="009459C1" w:rsidRDefault="00413928" w:rsidP="00413928">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9459C1">
        <w:rPr>
          <w:rFonts w:ascii="Bookman Old Style" w:eastAsia="Arial" w:hAnsi="Bookman Old Style" w:cs="Arial"/>
          <w:bCs/>
          <w:color w:val="000000"/>
          <w:sz w:val="24"/>
          <w:szCs w:val="24"/>
        </w:rPr>
        <w:t>CONTRATANTE;</w:t>
      </w:r>
    </w:p>
    <w:p w:rsidR="00413928" w:rsidRPr="009459C1" w:rsidRDefault="00413928" w:rsidP="00413928">
      <w:pPr>
        <w:spacing w:before="120" w:after="120" w:line="269" w:lineRule="auto"/>
        <w:contextualSpacing/>
        <w:mirrorIndents/>
        <w:jc w:val="both"/>
        <w:rPr>
          <w:rFonts w:ascii="Bookman Old Style" w:hAnsi="Bookman Old Style" w:cs="Arial"/>
          <w:b/>
          <w:color w:val="000000"/>
          <w:sz w:val="24"/>
          <w:szCs w:val="24"/>
        </w:rPr>
      </w:pPr>
      <w:r>
        <w:rPr>
          <w:rFonts w:ascii="Bookman Old Style" w:hAnsi="Bookman Old Style" w:cs="Arial"/>
          <w:sz w:val="24"/>
          <w:szCs w:val="24"/>
        </w:rPr>
        <w:t xml:space="preserve">9.17. </w:t>
      </w:r>
      <w:r w:rsidRPr="009459C1">
        <w:rPr>
          <w:rFonts w:ascii="Bookman Old Style" w:hAnsi="Bookman Old Style" w:cs="Arial"/>
          <w:sz w:val="24"/>
          <w:szCs w:val="24"/>
        </w:rPr>
        <w:t>A Contratada deve cumprir todas as obrigações constantes no Edital, seus anexos e sua proposta, assumindo como exclusivamente seus os riscos e as despesas decorrentes da boa e perfeita execução do objeto e, ainda:</w:t>
      </w:r>
    </w:p>
    <w:p w:rsidR="00413928" w:rsidRPr="009459C1" w:rsidRDefault="00413928" w:rsidP="00413928">
      <w:pPr>
        <w:spacing w:before="120" w:after="120" w:line="269" w:lineRule="auto"/>
        <w:contextualSpacing/>
        <w:mirrorIndents/>
        <w:jc w:val="both"/>
        <w:rPr>
          <w:rFonts w:ascii="Bookman Old Style" w:hAnsi="Bookman Old Style" w:cs="Arial"/>
          <w:i/>
          <w:sz w:val="24"/>
          <w:szCs w:val="24"/>
        </w:rPr>
      </w:pPr>
      <w:r>
        <w:rPr>
          <w:rFonts w:ascii="Bookman Old Style" w:hAnsi="Bookman Old Style" w:cs="Arial"/>
          <w:sz w:val="24"/>
          <w:szCs w:val="24"/>
        </w:rPr>
        <w:t xml:space="preserve">9.18. </w:t>
      </w:r>
      <w:r w:rsidRPr="009459C1">
        <w:rPr>
          <w:rFonts w:ascii="Bookman Old Style" w:hAnsi="Bookman Old Style" w:cs="Arial"/>
          <w:sz w:val="24"/>
          <w:szCs w:val="24"/>
        </w:rPr>
        <w:t xml:space="preserve">Efetuar a entrega do objeto em perfeitas condições, conforme especificações, prazo e local constantes no Edital e seus anexos, acompanhado da respectiva nota fiscal, na qual constarão as indicações referentes a: </w:t>
      </w:r>
      <w:r w:rsidRPr="009459C1">
        <w:rPr>
          <w:rFonts w:ascii="Bookman Old Style" w:hAnsi="Bookman Old Style" w:cs="Arial"/>
          <w:i/>
          <w:sz w:val="24"/>
          <w:szCs w:val="24"/>
        </w:rPr>
        <w:t>marca, fabricante, modelo, procedência e prazo de garantia ou validade;</w:t>
      </w:r>
    </w:p>
    <w:p w:rsidR="00413928" w:rsidRPr="009459C1" w:rsidRDefault="00413928" w:rsidP="00413928">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9.19. </w:t>
      </w:r>
      <w:r w:rsidRPr="009459C1">
        <w:rPr>
          <w:rFonts w:ascii="Bookman Old Style" w:hAnsi="Bookman Old Style" w:cs="Arial"/>
          <w:sz w:val="24"/>
          <w:szCs w:val="24"/>
        </w:rPr>
        <w:t>Responsabilizar-se pelos vícios e danos decorrentes do objeto, de acordo com os artigos 12, 13 e 17 a 27, do Código de Defesa do Consumidor (Lei nº 8.078, de 1990);</w:t>
      </w:r>
    </w:p>
    <w:p w:rsidR="00413928" w:rsidRPr="009459C1" w:rsidRDefault="00413928" w:rsidP="00413928">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9.20. </w:t>
      </w:r>
      <w:r w:rsidRPr="009459C1">
        <w:rPr>
          <w:rFonts w:ascii="Bookman Old Style" w:hAnsi="Bookman Old Style" w:cs="Arial"/>
          <w:sz w:val="24"/>
          <w:szCs w:val="24"/>
        </w:rPr>
        <w:t xml:space="preserve">Substituir, reparar ou corrigir, às suas expensas, no prazo fixado neste </w:t>
      </w:r>
      <w:r>
        <w:rPr>
          <w:rFonts w:ascii="Bookman Old Style" w:hAnsi="Bookman Old Style" w:cs="Arial"/>
          <w:sz w:val="24"/>
          <w:szCs w:val="24"/>
        </w:rPr>
        <w:t xml:space="preserve">9.21. </w:t>
      </w:r>
      <w:r w:rsidRPr="009459C1">
        <w:rPr>
          <w:rFonts w:ascii="Bookman Old Style" w:hAnsi="Bookman Old Style" w:cs="Arial"/>
          <w:sz w:val="24"/>
          <w:szCs w:val="24"/>
        </w:rPr>
        <w:t>Termo de Referência, o objeto com avarias ou defeitos;</w:t>
      </w:r>
    </w:p>
    <w:p w:rsidR="00413928" w:rsidRPr="009459C1" w:rsidRDefault="00413928" w:rsidP="00413928">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9.22. </w:t>
      </w:r>
      <w:r w:rsidRPr="009459C1">
        <w:rPr>
          <w:rFonts w:ascii="Bookman Old Style" w:hAnsi="Bookman Old Style" w:cs="Arial"/>
          <w:sz w:val="24"/>
          <w:szCs w:val="24"/>
        </w:rPr>
        <w:t>Comunicar à Contratante, no prazo mínimo de 24 horas que antecede a data da entrega, os motivos que impossibilitem o cumprimento do prazo previsto, com a devida comprovação;</w:t>
      </w:r>
    </w:p>
    <w:p w:rsidR="00413928" w:rsidRPr="009459C1" w:rsidRDefault="00413928" w:rsidP="00413928">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9.23. </w:t>
      </w:r>
      <w:r w:rsidRPr="009459C1">
        <w:rPr>
          <w:rFonts w:ascii="Bookman Old Style" w:hAnsi="Bookman Old Style" w:cs="Arial"/>
          <w:sz w:val="24"/>
          <w:szCs w:val="24"/>
        </w:rPr>
        <w:t>Manter, durante toda a execução do contrato, em compatibilidade com as obrigações assumidas, todas as condições de habilitação e qualificação exigidas na licitação;</w:t>
      </w:r>
    </w:p>
    <w:p w:rsidR="00413928" w:rsidRPr="007B422B" w:rsidRDefault="00413928" w:rsidP="00413928">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9.24. </w:t>
      </w:r>
      <w:r w:rsidRPr="009459C1">
        <w:rPr>
          <w:rFonts w:ascii="Bookman Old Style" w:hAnsi="Bookman Old Style" w:cs="Arial"/>
          <w:sz w:val="24"/>
          <w:szCs w:val="24"/>
        </w:rPr>
        <w:t>Indicar preposto para representá-la durante a execução do contrato.</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São obrigações do CONTRATANTE, exigir o cumprimento de todas as obrigações assumidas pelo CONTRATADO;</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Receber o objeto no prazo e condições estabelecidas neste Termo de Referência;</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Notificar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Acompanhar e fiscalizar a execução do contrato e o cumprimento das obrigações pelo CONTRATADO;</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Efetuar o pagamento ao </w:t>
      </w:r>
      <w:r w:rsidRPr="009459C1">
        <w:rPr>
          <w:rFonts w:ascii="Bookman Old Style" w:eastAsia="Arial" w:hAnsi="Bookman Old Style" w:cs="Arial"/>
          <w:bCs/>
          <w:color w:val="000000"/>
          <w:sz w:val="24"/>
          <w:szCs w:val="24"/>
        </w:rPr>
        <w:t>CONTRATADO d</w:t>
      </w:r>
      <w:r w:rsidRPr="009459C1">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Aplicar ao </w:t>
      </w:r>
      <w:r w:rsidRPr="009459C1">
        <w:rPr>
          <w:rFonts w:ascii="Bookman Old Style" w:eastAsia="Arial" w:hAnsi="Bookman Old Style" w:cs="Arial"/>
          <w:bCs/>
          <w:color w:val="000000"/>
          <w:sz w:val="24"/>
          <w:szCs w:val="24"/>
        </w:rPr>
        <w:t xml:space="preserve">CONTRATADO as sanções previstas na lei; </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413928"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Administração não responderá por quaisquer compromissos assumidos pelo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de seus empregados, prepostos ou subordinados.</w:t>
      </w:r>
    </w:p>
    <w:p w:rsidR="00413928" w:rsidRPr="009459C1" w:rsidRDefault="00413928" w:rsidP="00413928">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p>
    <w:p w:rsidR="00413928" w:rsidRPr="006A6721" w:rsidRDefault="00413928" w:rsidP="00413928">
      <w:pPr>
        <w:spacing w:after="120" w:line="240" w:lineRule="auto"/>
        <w:mirrorIndents/>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DA PUBLICAÇÃO </w:t>
      </w:r>
      <w:r>
        <w:rPr>
          <w:rFonts w:ascii="Bookman Old Style" w:hAnsi="Bookman Old Style"/>
          <w:b/>
          <w:sz w:val="24"/>
          <w:szCs w:val="24"/>
        </w:rPr>
        <w:t>DA ATA</w:t>
      </w:r>
      <w:r w:rsidRPr="006A6721">
        <w:rPr>
          <w:rFonts w:ascii="Bookman Old Style" w:hAnsi="Bookman Old Style"/>
          <w:b/>
          <w:sz w:val="24"/>
          <w:szCs w:val="24"/>
        </w:rPr>
        <w:t xml:space="preserve"> </w:t>
      </w:r>
      <w:r w:rsidRPr="006A6721">
        <w:rPr>
          <w:rFonts w:ascii="Bookman Old Style" w:hAnsi="Bookman Old Style"/>
          <w:sz w:val="24"/>
          <w:szCs w:val="24"/>
        </w:rPr>
        <w:t xml:space="preserve"> </w:t>
      </w: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rsidR="00413928" w:rsidRPr="006A6721" w:rsidRDefault="00413928" w:rsidP="00413928">
      <w:pPr>
        <w:spacing w:after="120" w:line="240" w:lineRule="auto"/>
        <w:mirrorIndents/>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rsidR="00413928" w:rsidRPr="006A6721" w:rsidRDefault="00413928" w:rsidP="00413928">
      <w:pPr>
        <w:spacing w:after="120" w:line="240" w:lineRule="auto"/>
        <w:mirrorIndents/>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Comete infração administrativa, nos termos da Lei n.º 14.133/2021, o </w:t>
      </w:r>
      <w:r w:rsidRPr="009459C1">
        <w:rPr>
          <w:rFonts w:ascii="Bookman Old Style" w:eastAsia="Arial" w:hAnsi="Bookman Old Style" w:cs="Arial"/>
          <w:bCs/>
          <w:color w:val="000000"/>
          <w:sz w:val="24"/>
          <w:szCs w:val="24"/>
        </w:rPr>
        <w:t>CONTRATADO q</w:t>
      </w:r>
      <w:r w:rsidRPr="009459C1">
        <w:rPr>
          <w:rFonts w:ascii="Bookman Old Style" w:eastAsia="Arial" w:hAnsi="Bookman Old Style" w:cs="Arial"/>
          <w:color w:val="000000"/>
          <w:sz w:val="24"/>
          <w:szCs w:val="24"/>
        </w:rPr>
        <w:t>ue:</w:t>
      </w:r>
    </w:p>
    <w:p w:rsidR="00413928" w:rsidRPr="009459C1" w:rsidRDefault="00413928" w:rsidP="00413928">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w:t>
      </w:r>
    </w:p>
    <w:p w:rsidR="00413928" w:rsidRPr="009459C1" w:rsidRDefault="00413928" w:rsidP="00413928">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413928" w:rsidRPr="009459C1" w:rsidRDefault="00413928" w:rsidP="00413928">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total do contrato;</w:t>
      </w:r>
    </w:p>
    <w:p w:rsidR="00413928" w:rsidRPr="009459C1" w:rsidRDefault="00413928" w:rsidP="00413928">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Ensejar o retardamento da execução ou da entrega do objeto da contratação sem motivo justificado;</w:t>
      </w:r>
    </w:p>
    <w:p w:rsidR="00413928" w:rsidRPr="009459C1" w:rsidRDefault="00413928" w:rsidP="00413928">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Apresentar documentação falsa ou prestar declaração falsa durante a execução do contrato;</w:t>
      </w:r>
    </w:p>
    <w:p w:rsidR="00413928" w:rsidRPr="009459C1" w:rsidRDefault="00413928" w:rsidP="00413928">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fraudulento na execução do contrato;</w:t>
      </w:r>
    </w:p>
    <w:p w:rsidR="00413928" w:rsidRPr="009459C1" w:rsidRDefault="00413928" w:rsidP="00413928">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Comportar-se de modo inidôneo ou cometer fraude de qualquer natureza;</w:t>
      </w:r>
    </w:p>
    <w:p w:rsidR="00413928" w:rsidRPr="009459C1" w:rsidRDefault="00413928" w:rsidP="00413928">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lastRenderedPageBreak/>
        <w:t>Praticar ato lesivo previsto no art. 5º da Lei n.º 12.846, de 1º de agosto de 2013.</w:t>
      </w:r>
    </w:p>
    <w:p w:rsidR="00413928" w:rsidRPr="009459C1" w:rsidRDefault="00413928" w:rsidP="00413928">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12.2.</w:t>
      </w:r>
      <w:r w:rsidRPr="009459C1">
        <w:rPr>
          <w:rFonts w:ascii="Bookman Old Style" w:eastAsia="Arial" w:hAnsi="Bookman Old Style" w:cs="Arial"/>
          <w:color w:val="000000"/>
          <w:sz w:val="24"/>
          <w:szCs w:val="24"/>
        </w:rPr>
        <w:t xml:space="preserve"> Serão aplicadas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que incorrer nas infrações acima descritas as seguintes sanções:</w:t>
      </w:r>
    </w:p>
    <w:p w:rsidR="00413928" w:rsidRPr="009459C1" w:rsidRDefault="00413928" w:rsidP="00413928">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413928" w:rsidRPr="009459C1" w:rsidRDefault="00413928" w:rsidP="00413928">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413928" w:rsidRPr="009459C1" w:rsidRDefault="00413928" w:rsidP="00413928">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413928" w:rsidRPr="009459C1" w:rsidRDefault="00413928" w:rsidP="00413928">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Multa:</w:t>
      </w:r>
    </w:p>
    <w:p w:rsidR="00413928" w:rsidRPr="009459C1" w:rsidRDefault="00413928" w:rsidP="00413928">
      <w:pPr>
        <w:numPr>
          <w:ilvl w:val="1"/>
          <w:numId w:val="3"/>
        </w:numPr>
        <w:pBdr>
          <w:top w:val="nil"/>
          <w:left w:val="nil"/>
          <w:bottom w:val="nil"/>
          <w:right w:val="nil"/>
          <w:between w:val="nil"/>
        </w:pBdr>
        <w:tabs>
          <w:tab w:val="left" w:pos="567"/>
        </w:tabs>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hAnsi="Bookman Old Style" w:cs="Arial"/>
          <w:sz w:val="24"/>
          <w:szCs w:val="24"/>
        </w:rPr>
        <w:t xml:space="preserve">   </w:t>
      </w:r>
      <w:r w:rsidRPr="009459C1">
        <w:rPr>
          <w:rFonts w:ascii="Bookman Old Style" w:eastAsia="Arial" w:hAnsi="Bookman Old Style" w:cs="Arial"/>
          <w:sz w:val="24"/>
          <w:szCs w:val="24"/>
        </w:rPr>
        <w:t>Moratória de 1% (um por cento) por dia de atraso injustificado sobre o valor da parcela inadimplida, até o limite de 30 (trinta) dias;</w:t>
      </w:r>
    </w:p>
    <w:p w:rsidR="00413928" w:rsidRPr="009459C1" w:rsidRDefault="00413928" w:rsidP="00413928">
      <w:pPr>
        <w:numPr>
          <w:ilvl w:val="1"/>
          <w:numId w:val="3"/>
        </w:numPr>
        <w:pBdr>
          <w:top w:val="nil"/>
          <w:left w:val="nil"/>
          <w:bottom w:val="nil"/>
          <w:right w:val="nil"/>
          <w:between w:val="nil"/>
        </w:pBdr>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413928" w:rsidRPr="009459C1" w:rsidRDefault="00413928" w:rsidP="00413928">
      <w:pPr>
        <w:numPr>
          <w:ilvl w:val="1"/>
          <w:numId w:val="3"/>
        </w:numPr>
        <w:pBdr>
          <w:top w:val="nil"/>
          <w:left w:val="nil"/>
          <w:bottom w:val="nil"/>
          <w:right w:val="nil"/>
          <w:between w:val="nil"/>
        </w:pBdr>
        <w:spacing w:after="120" w:line="269" w:lineRule="auto"/>
        <w:ind w:left="0" w:firstLine="284"/>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Compensatória de </w:t>
      </w:r>
      <w:r w:rsidRPr="009459C1">
        <w:rPr>
          <w:rFonts w:ascii="Bookman Old Style" w:eastAsia="Arial" w:hAnsi="Bookman Old Style" w:cs="Arial"/>
          <w:sz w:val="24"/>
          <w:szCs w:val="24"/>
        </w:rPr>
        <w:t xml:space="preserve">20% (vinte </w:t>
      </w:r>
      <w:r w:rsidRPr="009459C1">
        <w:rPr>
          <w:rFonts w:ascii="Bookman Old Style" w:eastAsia="Arial" w:hAnsi="Bookman Old Style" w:cs="Arial"/>
          <w:color w:val="000000"/>
          <w:sz w:val="24"/>
          <w:szCs w:val="24"/>
        </w:rPr>
        <w:t>por cento) sobre o valor total do contrato, no caso de inexecução total do objeto.</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(Art. 156, §9º, da Lei n.º 14.133/2021);</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Todas as sanções previstas neste termo poderão ser aplicadas cumulativamente com a multa (Art. 156, §7º, da Lei n.º 14.133/2021);</w:t>
      </w:r>
    </w:p>
    <w:p w:rsidR="00413928" w:rsidRPr="009459C1" w:rsidRDefault="00413928" w:rsidP="00413928">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413928" w:rsidRPr="009459C1" w:rsidRDefault="00413928" w:rsidP="00413928">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9459C1">
        <w:rPr>
          <w:rFonts w:ascii="Bookman Old Style" w:eastAsia="Arial" w:hAnsi="Bookman Old Style" w:cs="Arial"/>
          <w:bCs/>
          <w:color w:val="000000"/>
          <w:sz w:val="24"/>
          <w:szCs w:val="24"/>
        </w:rPr>
        <w:t>CONTRATANTE ao CONTRATADO</w:t>
      </w:r>
      <w:r w:rsidRPr="00945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413928" w:rsidRPr="009459C1" w:rsidRDefault="00413928" w:rsidP="00413928">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9459C1">
        <w:rPr>
          <w:rFonts w:ascii="Bookman Old Style" w:eastAsia="Arial" w:hAnsi="Bookman Old Style" w:cs="Arial"/>
          <w:sz w:val="24"/>
          <w:szCs w:val="24"/>
        </w:rPr>
        <w:t>30 (trinta)</w:t>
      </w:r>
      <w:r w:rsidRPr="009459C1">
        <w:rPr>
          <w:rFonts w:ascii="Bookman Old Style" w:eastAsia="Arial" w:hAnsi="Bookman Old Style" w:cs="Arial"/>
          <w:color w:val="000000"/>
          <w:sz w:val="24"/>
          <w:szCs w:val="24"/>
        </w:rPr>
        <w:t xml:space="preserve"> dias, a contar da data do recebimento da comunicação enviada pela autoridade competente.</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Na aplicação das sanções serão considerados (Art. 156, §1º, da Lei n.º 14.133/2021):</w:t>
      </w:r>
    </w:p>
    <w:p w:rsidR="00413928" w:rsidRPr="009459C1" w:rsidRDefault="00413928" w:rsidP="00413928">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lastRenderedPageBreak/>
        <w:t>A natureza e a gravidade da infração cometida;</w:t>
      </w:r>
    </w:p>
    <w:p w:rsidR="00413928" w:rsidRPr="009459C1" w:rsidRDefault="00413928" w:rsidP="00413928">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peculiaridades do caso concreto;</w:t>
      </w:r>
    </w:p>
    <w:p w:rsidR="00413928" w:rsidRPr="009459C1" w:rsidRDefault="00413928" w:rsidP="00413928">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circunstâncias agravantes ou atenuantes;</w:t>
      </w:r>
    </w:p>
    <w:p w:rsidR="00413928" w:rsidRPr="009459C1" w:rsidRDefault="00413928" w:rsidP="00413928">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Os danos que dela provierem para o </w:t>
      </w:r>
      <w:r w:rsidRPr="009459C1">
        <w:rPr>
          <w:rFonts w:ascii="Bookman Old Style" w:eastAsia="Arial" w:hAnsi="Bookman Old Style" w:cs="Arial"/>
          <w:bCs/>
          <w:sz w:val="24"/>
          <w:szCs w:val="24"/>
        </w:rPr>
        <w:t>CONTRATANTE;</w:t>
      </w:r>
    </w:p>
    <w:p w:rsidR="00413928" w:rsidRPr="009459C1" w:rsidRDefault="00413928" w:rsidP="00413928">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implantação ou o aperfeiçoamento de programa de integridade, conforme normas e orientações dos órgãos de controle.</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personalidade jurídica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9459C1">
        <w:rPr>
          <w:rFonts w:ascii="Bookman Old Style" w:eastAsia="Arial" w:hAnsi="Bookman Old Style" w:cs="Arial"/>
          <w:color w:val="000000"/>
          <w:sz w:val="24"/>
          <w:szCs w:val="24"/>
        </w:rPr>
        <w:t>CEIS</w:t>
      </w:r>
      <w:proofErr w:type="spellEnd"/>
      <w:r w:rsidRPr="009459C1">
        <w:rPr>
          <w:rFonts w:ascii="Bookman Old Style" w:eastAsia="Arial" w:hAnsi="Bookman Old Style" w:cs="Arial"/>
          <w:color w:val="000000"/>
          <w:sz w:val="24"/>
          <w:szCs w:val="24"/>
        </w:rPr>
        <w:t>) e no Cadastro Nacional de Empresas Punidas (</w:t>
      </w:r>
      <w:proofErr w:type="spellStart"/>
      <w:r w:rsidRPr="009459C1">
        <w:rPr>
          <w:rFonts w:ascii="Bookman Old Style" w:eastAsia="Arial" w:hAnsi="Bookman Old Style" w:cs="Arial"/>
          <w:color w:val="000000"/>
          <w:sz w:val="24"/>
          <w:szCs w:val="24"/>
        </w:rPr>
        <w:t>CNEP</w:t>
      </w:r>
      <w:proofErr w:type="spellEnd"/>
      <w:r w:rsidRPr="009459C1">
        <w:rPr>
          <w:rFonts w:ascii="Bookman Old Style" w:eastAsia="Arial" w:hAnsi="Bookman Old Style" w:cs="Arial"/>
          <w:color w:val="000000"/>
          <w:sz w:val="24"/>
          <w:szCs w:val="24"/>
        </w:rPr>
        <w:t>), instituídos no âmbito do Poder Executivo Federal (Art. 161 da Lei n.º 14.133/2021);</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413928" w:rsidRPr="009459C1" w:rsidRDefault="00413928" w:rsidP="00413928">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Os débitos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para com a Administração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9459C1">
        <w:rPr>
          <w:rFonts w:ascii="Bookman Old Style" w:eastAsia="Arial" w:hAnsi="Bookman Old Style" w:cs="Arial"/>
          <w:bCs/>
          <w:color w:val="000000"/>
          <w:sz w:val="24"/>
          <w:szCs w:val="24"/>
        </w:rPr>
        <w:t>CONTRATADO possua com o mesmo órgão ora CONTRATANTE</w:t>
      </w:r>
      <w:r w:rsidRPr="009459C1">
        <w:rPr>
          <w:rFonts w:ascii="Bookman Old Style" w:eastAsia="Arial" w:hAnsi="Bookman Old Style" w:cs="Arial"/>
          <w:color w:val="000000"/>
          <w:sz w:val="24"/>
          <w:szCs w:val="24"/>
        </w:rPr>
        <w:t>.</w:t>
      </w:r>
    </w:p>
    <w:p w:rsidR="00413928" w:rsidRPr="006A6721" w:rsidRDefault="00413928" w:rsidP="00413928">
      <w:pPr>
        <w:spacing w:after="120" w:line="240" w:lineRule="auto"/>
        <w:contextualSpacing/>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 e Decreto Municipal n. 141/2023</w:t>
      </w:r>
      <w:r w:rsidRPr="006A6721">
        <w:rPr>
          <w:rFonts w:ascii="Bookman Old Style" w:hAnsi="Bookman Old Style"/>
          <w:sz w:val="24"/>
          <w:szCs w:val="24"/>
        </w:rPr>
        <w:t>.</w:t>
      </w:r>
    </w:p>
    <w:p w:rsidR="00413928" w:rsidRPr="006A6721"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413928" w:rsidRPr="006A6721"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 xml:space="preserve">Caberá ao </w:t>
      </w:r>
      <w:r w:rsidRPr="006A6721">
        <w:rPr>
          <w:rFonts w:ascii="Bookman Old Style" w:hAnsi="Bookman Old Style"/>
          <w:sz w:val="24"/>
          <w:szCs w:val="24"/>
        </w:rPr>
        <w:t xml:space="preserve">representante </w:t>
      </w:r>
      <w:r>
        <w:rPr>
          <w:rFonts w:ascii="Bookman Old Style" w:hAnsi="Bookman Old Style"/>
          <w:sz w:val="24"/>
          <w:szCs w:val="24"/>
        </w:rPr>
        <w:t xml:space="preserve">institucional </w:t>
      </w:r>
      <w:r w:rsidRPr="006A6721">
        <w:rPr>
          <w:rFonts w:ascii="Bookman Old Style" w:hAnsi="Bookman Old Style"/>
          <w:sz w:val="24"/>
          <w:szCs w:val="24"/>
        </w:rPr>
        <w:t>acompanhar e fiscalizar a entrega dos bens</w:t>
      </w:r>
      <w:r>
        <w:rPr>
          <w:rFonts w:ascii="Bookman Old Style" w:hAnsi="Bookman Old Style"/>
          <w:sz w:val="24"/>
          <w:szCs w:val="24"/>
        </w:rPr>
        <w:t>/execução dos serviços</w:t>
      </w:r>
      <w:r w:rsidRPr="006A6721">
        <w:rPr>
          <w:rFonts w:ascii="Bookman Old Style" w:hAnsi="Bookman Old Style"/>
          <w:sz w:val="24"/>
          <w:szCs w:val="24"/>
        </w:rPr>
        <w:t>, anotando em registro próprio todas as ocorrências relacionadas com a execução e determinando o que for necessário à regularização de falhas ou defeitos observados.</w:t>
      </w: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413928" w:rsidRDefault="00413928" w:rsidP="00413928">
      <w:pPr>
        <w:spacing w:after="12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Pr="00D021F5">
        <w:rPr>
          <w:rFonts w:ascii="Bookman Old Style" w:hAnsi="Bookman Old Style"/>
          <w:sz w:val="24"/>
          <w:szCs w:val="24"/>
          <w:lang w:eastAsia="zh-CN"/>
        </w:rPr>
        <w:t>A execução do</w:t>
      </w:r>
      <w:r>
        <w:rPr>
          <w:rFonts w:ascii="Bookman Old Style" w:hAnsi="Bookman Old Style"/>
          <w:sz w:val="24"/>
          <w:szCs w:val="24"/>
          <w:lang w:eastAsia="zh-CN"/>
        </w:rPr>
        <w:t>s</w:t>
      </w:r>
      <w:r w:rsidRPr="00D021F5">
        <w:rPr>
          <w:rFonts w:ascii="Bookman Old Style" w:hAnsi="Bookman Old Style"/>
          <w:sz w:val="24"/>
          <w:szCs w:val="24"/>
          <w:lang w:eastAsia="zh-CN"/>
        </w:rPr>
        <w:t xml:space="preserve"> contrato</w:t>
      </w:r>
      <w:r>
        <w:rPr>
          <w:rFonts w:ascii="Bookman Old Style" w:hAnsi="Bookman Old Style"/>
          <w:sz w:val="24"/>
          <w:szCs w:val="24"/>
          <w:lang w:eastAsia="zh-CN"/>
        </w:rPr>
        <w:t>s decorrentes desta ata de registro de preços</w:t>
      </w:r>
      <w:r w:rsidRPr="00D021F5">
        <w:rPr>
          <w:rFonts w:ascii="Bookman Old Style" w:hAnsi="Bookman Old Style"/>
          <w:sz w:val="24"/>
          <w:szCs w:val="24"/>
          <w:lang w:eastAsia="zh-CN"/>
        </w:rPr>
        <w:t xml:space="preserve"> será acompanhada e fiscalizada, </w:t>
      </w:r>
      <w:r w:rsidRPr="00D57DF0">
        <w:rPr>
          <w:rFonts w:ascii="Bookman Old Style" w:hAnsi="Bookman Old Style"/>
          <w:sz w:val="24"/>
          <w:szCs w:val="24"/>
          <w:lang w:eastAsia="zh-CN"/>
        </w:rPr>
        <w:t xml:space="preserve">fiscalizada pelo operador da ETA </w:t>
      </w:r>
      <w:proofErr w:type="spellStart"/>
      <w:r w:rsidRPr="00D57DF0">
        <w:rPr>
          <w:rFonts w:ascii="Bookman Old Style" w:hAnsi="Bookman Old Style"/>
          <w:sz w:val="24"/>
          <w:szCs w:val="24"/>
          <w:lang w:eastAsia="zh-CN"/>
        </w:rPr>
        <w:t>Idinei</w:t>
      </w:r>
      <w:proofErr w:type="spellEnd"/>
      <w:r w:rsidRPr="00D57DF0">
        <w:rPr>
          <w:rFonts w:ascii="Bookman Old Style" w:hAnsi="Bookman Old Style"/>
          <w:sz w:val="24"/>
          <w:szCs w:val="24"/>
          <w:lang w:eastAsia="zh-CN"/>
        </w:rPr>
        <w:t xml:space="preserve"> Salles ou a Responsável Técnica Elisandra Maria Engler </w:t>
      </w:r>
      <w:r w:rsidRPr="00D021F5">
        <w:rPr>
          <w:rFonts w:ascii="Bookman Old Style" w:hAnsi="Bookman Old Style"/>
          <w:color w:val="000000"/>
          <w:sz w:val="24"/>
          <w:szCs w:val="24"/>
        </w:rPr>
        <w:t>que atuar</w:t>
      </w:r>
      <w:r>
        <w:rPr>
          <w:rFonts w:ascii="Bookman Old Style" w:hAnsi="Bookman Old Style"/>
          <w:color w:val="000000"/>
          <w:sz w:val="24"/>
          <w:szCs w:val="24"/>
        </w:rPr>
        <w:t>ão</w:t>
      </w:r>
      <w:r w:rsidRPr="00D021F5">
        <w:rPr>
          <w:rFonts w:ascii="Bookman Old Style" w:hAnsi="Bookman Old Style"/>
          <w:color w:val="000000"/>
          <w:sz w:val="24"/>
          <w:szCs w:val="24"/>
        </w:rPr>
        <w:t xml:space="preserve"> como representante</w:t>
      </w:r>
      <w:r>
        <w:rPr>
          <w:rFonts w:ascii="Bookman Old Style" w:hAnsi="Bookman Old Style"/>
          <w:color w:val="000000"/>
          <w:sz w:val="24"/>
          <w:szCs w:val="24"/>
        </w:rPr>
        <w:t>s</w:t>
      </w:r>
      <w:r w:rsidRPr="00D021F5">
        <w:rPr>
          <w:rFonts w:ascii="Bookman Old Style" w:hAnsi="Bookman Old Style"/>
          <w:color w:val="000000"/>
          <w:sz w:val="24"/>
          <w:szCs w:val="24"/>
        </w:rPr>
        <w:t xml:space="preserve"> instituciona</w:t>
      </w:r>
      <w:r>
        <w:rPr>
          <w:rFonts w:ascii="Bookman Old Style" w:hAnsi="Bookman Old Style"/>
          <w:color w:val="000000"/>
          <w:sz w:val="24"/>
          <w:szCs w:val="24"/>
        </w:rPr>
        <w:t>is e a</w:t>
      </w:r>
      <w:r w:rsidRPr="00D021F5">
        <w:rPr>
          <w:rFonts w:ascii="Bookman Old Style" w:hAnsi="Bookman Old Style"/>
          <w:color w:val="000000"/>
          <w:sz w:val="24"/>
          <w:szCs w:val="24"/>
        </w:rPr>
        <w:t xml:space="preserve"> gest</w:t>
      </w:r>
      <w:r>
        <w:rPr>
          <w:rFonts w:ascii="Bookman Old Style" w:hAnsi="Bookman Old Style"/>
          <w:color w:val="000000"/>
          <w:sz w:val="24"/>
          <w:szCs w:val="24"/>
        </w:rPr>
        <w:t>ão</w:t>
      </w:r>
      <w:r w:rsidRPr="00D021F5">
        <w:rPr>
          <w:rFonts w:ascii="Bookman Old Style" w:hAnsi="Bookman Old Style"/>
          <w:color w:val="000000"/>
          <w:sz w:val="24"/>
          <w:szCs w:val="24"/>
        </w:rPr>
        <w:t xml:space="preserve"> do contrato</w:t>
      </w:r>
      <w:r>
        <w:rPr>
          <w:rFonts w:ascii="Bookman Old Style" w:hAnsi="Bookman Old Style"/>
          <w:color w:val="000000"/>
          <w:sz w:val="24"/>
          <w:szCs w:val="24"/>
        </w:rPr>
        <w:t xml:space="preserve"> caberá </w:t>
      </w:r>
      <w:r w:rsidRPr="00D021F5">
        <w:rPr>
          <w:rFonts w:ascii="Bookman Old Style" w:hAnsi="Bookman Old Style"/>
          <w:color w:val="000000"/>
          <w:sz w:val="24"/>
          <w:szCs w:val="24"/>
        </w:rPr>
        <w:t>a servidora Angelita Gabriel.</w:t>
      </w:r>
    </w:p>
    <w:p w:rsidR="00413928"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rsidR="00413928"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rsidR="00413928"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rsidR="00413928" w:rsidRPr="006A6721" w:rsidRDefault="00413928" w:rsidP="00413928">
      <w:pPr>
        <w:spacing w:after="120" w:line="240" w:lineRule="auto"/>
        <w:mirrorIndents/>
        <w:jc w:val="both"/>
        <w:rPr>
          <w:rFonts w:ascii="Bookman Old Style" w:hAnsi="Bookman Old Style"/>
          <w:sz w:val="24"/>
          <w:szCs w:val="24"/>
        </w:rPr>
      </w:pPr>
      <w:r>
        <w:rPr>
          <w:rFonts w:ascii="Bookman Old Style" w:hAnsi="Bookman Old Style"/>
          <w:sz w:val="24"/>
          <w:szCs w:val="24"/>
        </w:rPr>
        <w:t>14.3.2.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13928" w:rsidRPr="006A6721" w:rsidRDefault="00413928" w:rsidP="00413928">
      <w:pPr>
        <w:spacing w:after="120" w:line="240" w:lineRule="auto"/>
        <w:mirrorIndents/>
        <w:jc w:val="both"/>
        <w:rPr>
          <w:rFonts w:ascii="Bookman Old Style" w:hAnsi="Bookman Old Style"/>
          <w:sz w:val="24"/>
          <w:szCs w:val="24"/>
        </w:rPr>
      </w:pPr>
    </w:p>
    <w:p w:rsidR="00413928" w:rsidRDefault="00413928" w:rsidP="00413928">
      <w:pPr>
        <w:spacing w:after="12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413928" w:rsidRDefault="00413928" w:rsidP="00413928">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413928" w:rsidRPr="006A6721" w:rsidRDefault="00413928" w:rsidP="00413928">
      <w:pPr>
        <w:spacing w:after="120" w:line="240" w:lineRule="auto"/>
        <w:mirrorIndents/>
        <w:jc w:val="both"/>
        <w:rPr>
          <w:rFonts w:ascii="Bookman Old Style" w:hAnsi="Bookman Old Style"/>
          <w:sz w:val="24"/>
          <w:szCs w:val="24"/>
        </w:rPr>
      </w:pPr>
    </w:p>
    <w:p w:rsidR="00413928" w:rsidRDefault="00413928" w:rsidP="00A70707">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413928" w:rsidRDefault="00413928" w:rsidP="00413928">
      <w:pPr>
        <w:spacing w:after="12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70707">
        <w:rPr>
          <w:rFonts w:ascii="Bookman Old Style" w:hAnsi="Bookman Old Style"/>
          <w:sz w:val="24"/>
          <w:szCs w:val="24"/>
        </w:rPr>
        <w:t xml:space="preserve">03 </w:t>
      </w:r>
      <w:r w:rsidRPr="006A6721">
        <w:rPr>
          <w:rFonts w:ascii="Bookman Old Style" w:hAnsi="Bookman Old Style"/>
          <w:sz w:val="24"/>
          <w:szCs w:val="24"/>
        </w:rPr>
        <w:t xml:space="preserve">de </w:t>
      </w:r>
      <w:r w:rsidR="00A70707">
        <w:rPr>
          <w:rFonts w:ascii="Bookman Old Style" w:hAnsi="Bookman Old Style"/>
          <w:sz w:val="24"/>
          <w:szCs w:val="24"/>
        </w:rPr>
        <w:t>junho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A70707" w:rsidRDefault="00A70707" w:rsidP="00413928">
      <w:pPr>
        <w:spacing w:after="120" w:line="240" w:lineRule="auto"/>
        <w:mirrorIndents/>
        <w:jc w:val="right"/>
        <w:rPr>
          <w:rFonts w:ascii="Bookman Old Style" w:hAnsi="Bookman Old Style"/>
          <w:sz w:val="24"/>
          <w:szCs w:val="24"/>
        </w:rPr>
      </w:pPr>
    </w:p>
    <w:p w:rsidR="00413928" w:rsidRPr="006A6721" w:rsidRDefault="00413928" w:rsidP="00413928">
      <w:pPr>
        <w:spacing w:after="120" w:line="240" w:lineRule="auto"/>
        <w:mirrorIndents/>
        <w:jc w:val="right"/>
        <w:rPr>
          <w:rFonts w:ascii="Bookman Old Style" w:hAnsi="Bookman Old Style"/>
          <w:sz w:val="24"/>
          <w:szCs w:val="24"/>
        </w:rPr>
      </w:pPr>
    </w:p>
    <w:p w:rsidR="00413928" w:rsidRPr="006A6721" w:rsidRDefault="00413928" w:rsidP="00413928">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rsidR="00413928" w:rsidRDefault="00413928" w:rsidP="00A70707">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p>
    <w:p w:rsidR="00413928" w:rsidRDefault="00413928" w:rsidP="00A70707">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rsidR="00413928" w:rsidRDefault="00413928" w:rsidP="00413928">
      <w:pPr>
        <w:spacing w:after="120" w:line="240" w:lineRule="auto"/>
        <w:mirrorIndents/>
        <w:rPr>
          <w:rFonts w:ascii="Bookman Old Style" w:hAnsi="Bookman Old Style"/>
          <w:sz w:val="24"/>
          <w:szCs w:val="24"/>
        </w:rPr>
      </w:pPr>
    </w:p>
    <w:p w:rsidR="00A70707" w:rsidRPr="006A6721" w:rsidRDefault="00A70707" w:rsidP="00413928">
      <w:pPr>
        <w:spacing w:after="120" w:line="240" w:lineRule="auto"/>
        <w:mirrorIndents/>
        <w:rPr>
          <w:rFonts w:ascii="Bookman Old Style" w:hAnsi="Bookman Old Style"/>
          <w:sz w:val="24"/>
          <w:szCs w:val="24"/>
        </w:rPr>
      </w:pPr>
    </w:p>
    <w:p w:rsidR="00413928" w:rsidRPr="006A6721" w:rsidRDefault="00413928" w:rsidP="00413928">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A70707" w:rsidRDefault="00A70707" w:rsidP="00A70707">
      <w:pPr>
        <w:spacing w:after="0" w:line="240" w:lineRule="auto"/>
        <w:mirrorIndents/>
        <w:jc w:val="center"/>
        <w:rPr>
          <w:rFonts w:ascii="Bookman Old Style" w:hAnsi="Bookman Old Style"/>
          <w:sz w:val="24"/>
          <w:szCs w:val="24"/>
        </w:rPr>
      </w:pPr>
      <w:proofErr w:type="spellStart"/>
      <w:r w:rsidRPr="00A70707">
        <w:rPr>
          <w:rFonts w:ascii="Bookman Old Style" w:hAnsi="Bookman Old Style"/>
          <w:b/>
          <w:sz w:val="24"/>
          <w:szCs w:val="24"/>
        </w:rPr>
        <w:lastRenderedPageBreak/>
        <w:t>BSC</w:t>
      </w:r>
      <w:proofErr w:type="spellEnd"/>
      <w:r w:rsidRPr="00A70707">
        <w:rPr>
          <w:rFonts w:ascii="Bookman Old Style" w:hAnsi="Bookman Old Style"/>
          <w:b/>
          <w:sz w:val="24"/>
          <w:szCs w:val="24"/>
        </w:rPr>
        <w:t xml:space="preserve"> QUIMICA LTDA</w:t>
      </w:r>
      <w:r w:rsidRPr="006A6721">
        <w:rPr>
          <w:rFonts w:ascii="Bookman Old Style" w:hAnsi="Bookman Old Style"/>
          <w:sz w:val="24"/>
          <w:szCs w:val="24"/>
        </w:rPr>
        <w:t xml:space="preserve">, </w:t>
      </w:r>
    </w:p>
    <w:p w:rsidR="00A70707" w:rsidRDefault="00A70707" w:rsidP="00A7070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CNPJ n. </w:t>
      </w:r>
      <w:r>
        <w:rPr>
          <w:rFonts w:ascii="Bookman Old Style" w:hAnsi="Bookman Old Style"/>
          <w:sz w:val="24"/>
          <w:szCs w:val="24"/>
        </w:rPr>
        <w:t>07.920.916/0001-09</w:t>
      </w:r>
      <w:r w:rsidRPr="006A6721">
        <w:rPr>
          <w:rFonts w:ascii="Bookman Old Style" w:hAnsi="Bookman Old Style"/>
          <w:sz w:val="24"/>
          <w:szCs w:val="24"/>
        </w:rPr>
        <w:t xml:space="preserve"> </w:t>
      </w:r>
    </w:p>
    <w:p w:rsidR="00A70707" w:rsidRDefault="00A70707" w:rsidP="00A70707">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Laerte </w:t>
      </w:r>
      <w:proofErr w:type="spellStart"/>
      <w:r>
        <w:rPr>
          <w:rFonts w:ascii="Bookman Old Style" w:hAnsi="Bookman Old Style"/>
          <w:sz w:val="24"/>
          <w:szCs w:val="24"/>
        </w:rPr>
        <w:t>Kohler</w:t>
      </w:r>
      <w:proofErr w:type="spellEnd"/>
    </w:p>
    <w:p w:rsidR="00413928" w:rsidRPr="006A6721" w:rsidRDefault="00413928" w:rsidP="00A7070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413928" w:rsidRDefault="00413928" w:rsidP="00413928">
      <w:pPr>
        <w:spacing w:after="120" w:line="240" w:lineRule="auto"/>
        <w:mirrorIndents/>
        <w:rPr>
          <w:rFonts w:ascii="Bookman Old Style" w:hAnsi="Bookman Old Style"/>
          <w:sz w:val="24"/>
          <w:szCs w:val="24"/>
        </w:rPr>
      </w:pPr>
      <w:r w:rsidRPr="006A6721">
        <w:rPr>
          <w:rFonts w:ascii="Bookman Old Style" w:hAnsi="Bookman Old Style"/>
          <w:sz w:val="24"/>
          <w:szCs w:val="24"/>
        </w:rPr>
        <w:t>Testemunhas:</w:t>
      </w:r>
    </w:p>
    <w:p w:rsidR="00A70707" w:rsidRDefault="00A70707" w:rsidP="00413928">
      <w:pPr>
        <w:spacing w:after="120" w:line="240" w:lineRule="auto"/>
        <w:mirrorIndents/>
        <w:rPr>
          <w:rFonts w:ascii="Bookman Old Style" w:hAnsi="Bookman Old Style"/>
          <w:sz w:val="24"/>
          <w:szCs w:val="24"/>
        </w:rPr>
      </w:pPr>
    </w:p>
    <w:p w:rsidR="00413928" w:rsidRPr="006A6721" w:rsidRDefault="00413928" w:rsidP="00413928">
      <w:pPr>
        <w:spacing w:after="120" w:line="240" w:lineRule="auto"/>
        <w:mirrorIndents/>
        <w:rPr>
          <w:rFonts w:ascii="Bookman Old Style" w:hAnsi="Bookman Old Style"/>
          <w:sz w:val="24"/>
          <w:szCs w:val="24"/>
        </w:rPr>
      </w:pPr>
    </w:p>
    <w:p w:rsidR="00413928" w:rsidRPr="006A6721" w:rsidRDefault="00413928" w:rsidP="00413928">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413928" w:rsidRPr="006A6721" w:rsidRDefault="00413928" w:rsidP="00413928">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r>
        <w:rPr>
          <w:rFonts w:ascii="Bookman Old Style" w:hAnsi="Bookman Old Style"/>
          <w:sz w:val="24"/>
          <w:szCs w:val="24"/>
        </w:rPr>
        <w:t xml:space="preserve"> </w:t>
      </w:r>
    </w:p>
    <w:p w:rsidR="00413928" w:rsidRDefault="00413928" w:rsidP="00413928">
      <w:pPr>
        <w:spacing w:after="12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rsidR="00413928" w:rsidRDefault="00413928" w:rsidP="00413928">
      <w:pPr>
        <w:spacing w:after="120" w:line="240" w:lineRule="auto"/>
        <w:rPr>
          <w:rFonts w:ascii="Bookman Old Style" w:hAnsi="Bookman Old Style"/>
          <w:sz w:val="24"/>
          <w:szCs w:val="24"/>
        </w:rPr>
      </w:pPr>
    </w:p>
    <w:p w:rsidR="00413928" w:rsidRDefault="00413928" w:rsidP="00413928">
      <w:pPr>
        <w:spacing w:after="120" w:line="240" w:lineRule="auto"/>
        <w:jc w:val="center"/>
        <w:rPr>
          <w:rFonts w:ascii="Bookman Old Style" w:hAnsi="Bookman Old Style"/>
          <w:b/>
          <w:sz w:val="24"/>
          <w:szCs w:val="24"/>
        </w:rPr>
      </w:pPr>
    </w:p>
    <w:p w:rsidR="00413928" w:rsidRDefault="00413928" w:rsidP="00413928">
      <w:pPr>
        <w:spacing w:after="120" w:line="240" w:lineRule="auto"/>
        <w:jc w:val="center"/>
        <w:rPr>
          <w:rFonts w:ascii="Bookman Old Style" w:hAnsi="Bookman Old Style"/>
          <w:b/>
          <w:sz w:val="24"/>
          <w:szCs w:val="24"/>
        </w:rPr>
      </w:pPr>
    </w:p>
    <w:p w:rsidR="00413928" w:rsidRDefault="00413928" w:rsidP="00413928">
      <w:pPr>
        <w:spacing w:after="120" w:line="240" w:lineRule="auto"/>
        <w:rPr>
          <w:rFonts w:ascii="Bookman Old Style" w:hAnsi="Bookman Old Style"/>
          <w:b/>
          <w:sz w:val="24"/>
          <w:szCs w:val="24"/>
        </w:rPr>
      </w:pPr>
    </w:p>
    <w:p w:rsidR="00A70707" w:rsidRDefault="00A70707" w:rsidP="00413928">
      <w:pPr>
        <w:spacing w:after="120" w:line="240" w:lineRule="auto"/>
        <w:rPr>
          <w:rFonts w:ascii="Bookman Old Style" w:hAnsi="Bookman Old Style"/>
          <w:b/>
          <w:sz w:val="24"/>
          <w:szCs w:val="24"/>
        </w:rPr>
      </w:pPr>
    </w:p>
    <w:p w:rsidR="00A70707" w:rsidRDefault="00A70707" w:rsidP="00413928">
      <w:pPr>
        <w:spacing w:after="120" w:line="240" w:lineRule="auto"/>
        <w:rPr>
          <w:rFonts w:ascii="Bookman Old Style" w:hAnsi="Bookman Old Style"/>
          <w:b/>
          <w:sz w:val="24"/>
          <w:szCs w:val="24"/>
        </w:rPr>
      </w:pPr>
    </w:p>
    <w:p w:rsidR="00A70707" w:rsidRDefault="00A70707" w:rsidP="00413928">
      <w:pPr>
        <w:spacing w:after="120" w:line="240" w:lineRule="auto"/>
        <w:rPr>
          <w:rFonts w:ascii="Bookman Old Style" w:hAnsi="Bookman Old Style"/>
          <w:b/>
          <w:sz w:val="24"/>
          <w:szCs w:val="24"/>
        </w:rPr>
      </w:pPr>
    </w:p>
    <w:p w:rsidR="00A70707" w:rsidRDefault="00A70707" w:rsidP="00413928">
      <w:pPr>
        <w:spacing w:after="120" w:line="240" w:lineRule="auto"/>
        <w:rPr>
          <w:rFonts w:ascii="Bookman Old Style" w:hAnsi="Bookman Old Style"/>
          <w:b/>
          <w:sz w:val="24"/>
          <w:szCs w:val="24"/>
        </w:rPr>
      </w:pPr>
    </w:p>
    <w:p w:rsidR="00A70707" w:rsidRDefault="00A70707" w:rsidP="00413928">
      <w:pPr>
        <w:spacing w:after="120" w:line="240" w:lineRule="auto"/>
        <w:rPr>
          <w:rFonts w:ascii="Bookman Old Style" w:hAnsi="Bookman Old Style"/>
          <w:b/>
          <w:sz w:val="24"/>
          <w:szCs w:val="24"/>
        </w:rPr>
      </w:pPr>
    </w:p>
    <w:sectPr w:rsidR="00A70707" w:rsidSect="00412116">
      <w:headerReference w:type="default" r:id="rId5"/>
      <w:footerReference w:type="default" r:id="rId6"/>
      <w:pgSz w:w="11907" w:h="16840" w:code="9"/>
      <w:pgMar w:top="958" w:right="992" w:bottom="851" w:left="1276"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A70707">
    <w:pPr>
      <w:pStyle w:val="Rodap"/>
    </w:pPr>
  </w:p>
  <w:p w:rsidR="00ED7F54" w:rsidRDefault="00A70707">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413928">
    <w:pPr>
      <w:pStyle w:val="Cabealho"/>
    </w:pPr>
    <w:r>
      <w:rPr>
        <w:noProof/>
      </w:rPr>
      <w:drawing>
        <wp:anchor distT="0" distB="0" distL="114300" distR="114300" simplePos="0" relativeHeight="251659264" behindDoc="0" locked="0" layoutInCell="1" allowOverlap="0">
          <wp:simplePos x="0" y="0"/>
          <wp:positionH relativeFrom="page">
            <wp:posOffset>1438275</wp:posOffset>
          </wp:positionH>
          <wp:positionV relativeFrom="page">
            <wp:posOffset>171450</wp:posOffset>
          </wp:positionV>
          <wp:extent cx="4581525" cy="78105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F54" w:rsidRDefault="00A70707" w:rsidP="00502B01">
    <w:pPr>
      <w:pStyle w:val="Cabealho"/>
      <w:jc w:val="center"/>
    </w:pPr>
  </w:p>
  <w:p w:rsidR="00ED7F54" w:rsidRDefault="00A70707" w:rsidP="00502B01">
    <w:pPr>
      <w:pStyle w:val="Cabealho"/>
      <w:jc w:val="center"/>
    </w:pPr>
  </w:p>
  <w:p w:rsidR="00ED7F54" w:rsidRDefault="00A70707" w:rsidP="00502B01">
    <w:pPr>
      <w:pStyle w:val="Cabealho"/>
      <w:jc w:val="center"/>
    </w:pPr>
  </w:p>
  <w:p w:rsidR="00ED7F54" w:rsidRDefault="00A70707" w:rsidP="00502B01">
    <w:pPr>
      <w:pStyle w:val="Cabealho"/>
      <w:jc w:val="center"/>
    </w:pPr>
  </w:p>
  <w:p w:rsidR="00ED7F54" w:rsidRDefault="00A70707"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F78A0"/>
    <w:multiLevelType w:val="multilevel"/>
    <w:tmpl w:val="ACD27BF4"/>
    <w:lvl w:ilvl="0">
      <w:start w:val="4"/>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246F6BF7"/>
    <w:multiLevelType w:val="multilevel"/>
    <w:tmpl w:val="7318F1C8"/>
    <w:lvl w:ilvl="0">
      <w:start w:val="9"/>
      <w:numFmt w:val="decimal"/>
      <w:lvlText w:val="%1."/>
      <w:lvlJc w:val="left"/>
      <w:pPr>
        <w:ind w:left="600" w:hanging="600"/>
      </w:pPr>
      <w:rPr>
        <w:rFonts w:hint="default"/>
      </w:rPr>
    </w:lvl>
    <w:lvl w:ilvl="1">
      <w:start w:val="28"/>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4" w15:restartNumberingAfterBreak="0">
    <w:nsid w:val="29A13F07"/>
    <w:multiLevelType w:val="multilevel"/>
    <w:tmpl w:val="668A49A2"/>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5" w15:restartNumberingAfterBreak="0">
    <w:nsid w:val="2A943B2C"/>
    <w:multiLevelType w:val="multilevel"/>
    <w:tmpl w:val="8B4678BA"/>
    <w:lvl w:ilvl="0">
      <w:start w:val="3"/>
      <w:numFmt w:val="decimal"/>
      <w:lvlText w:val="%1."/>
      <w:lvlJc w:val="left"/>
      <w:pPr>
        <w:ind w:left="675" w:hanging="675"/>
      </w:pPr>
      <w:rPr>
        <w:rFonts w:hint="default"/>
      </w:rPr>
    </w:lvl>
    <w:lvl w:ilvl="1">
      <w:start w:val="1"/>
      <w:numFmt w:val="decimal"/>
      <w:lvlText w:val="%1.%2."/>
      <w:lvlJc w:val="left"/>
      <w:pPr>
        <w:ind w:left="1260" w:hanging="72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FEC1925"/>
    <w:multiLevelType w:val="multilevel"/>
    <w:tmpl w:val="E4BEEDC4"/>
    <w:lvl w:ilvl="0">
      <w:start w:val="4"/>
      <w:numFmt w:val="decimal"/>
      <w:lvlText w:val="%1"/>
      <w:lvlJc w:val="left"/>
      <w:pPr>
        <w:ind w:left="375" w:hanging="375"/>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056" w:hanging="108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9"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6EF7909"/>
    <w:multiLevelType w:val="multilevel"/>
    <w:tmpl w:val="38961C02"/>
    <w:lvl w:ilvl="0">
      <w:start w:val="9"/>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num w:numId="1">
    <w:abstractNumId w:val="1"/>
  </w:num>
  <w:num w:numId="2">
    <w:abstractNumId w:val="7"/>
  </w:num>
  <w:num w:numId="3">
    <w:abstractNumId w:val="9"/>
  </w:num>
  <w:num w:numId="4">
    <w:abstractNumId w:val="6"/>
  </w:num>
  <w:num w:numId="5">
    <w:abstractNumId w:val="2"/>
  </w:num>
  <w:num w:numId="6">
    <w:abstractNumId w:val="10"/>
  </w:num>
  <w:num w:numId="7">
    <w:abstractNumId w:val="3"/>
  </w:num>
  <w:num w:numId="8">
    <w:abstractNumId w:val="4"/>
  </w:num>
  <w:num w:numId="9">
    <w:abstractNumId w:val="8"/>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928"/>
    <w:rsid w:val="00413928"/>
    <w:rsid w:val="00A70707"/>
    <w:rsid w:val="00D55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5825"/>
  <w15:chartTrackingRefBased/>
  <w15:docId w15:val="{D7D881E5-33A8-466D-8DA2-5EC6DA56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3928"/>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413928"/>
    <w:pPr>
      <w:tabs>
        <w:tab w:val="center" w:pos="4252"/>
        <w:tab w:val="right" w:pos="8504"/>
      </w:tabs>
      <w:spacing w:after="0" w:line="240" w:lineRule="auto"/>
    </w:pPr>
  </w:style>
  <w:style w:type="character" w:customStyle="1" w:styleId="CabealhoChar">
    <w:name w:val="Cabeçalho Char"/>
    <w:basedOn w:val="Fontepargpadro"/>
    <w:link w:val="Cabealho"/>
    <w:rsid w:val="00413928"/>
    <w:rPr>
      <w:rFonts w:ascii="Calibri" w:eastAsia="Calibri" w:hAnsi="Calibri" w:cs="Times New Roman"/>
    </w:rPr>
  </w:style>
  <w:style w:type="paragraph" w:styleId="Rodap">
    <w:name w:val="footer"/>
    <w:basedOn w:val="Normal"/>
    <w:link w:val="RodapChar"/>
    <w:unhideWhenUsed/>
    <w:qFormat/>
    <w:rsid w:val="00413928"/>
    <w:pPr>
      <w:tabs>
        <w:tab w:val="center" w:pos="4252"/>
        <w:tab w:val="right" w:pos="8504"/>
      </w:tabs>
      <w:spacing w:after="0" w:line="240" w:lineRule="auto"/>
    </w:pPr>
  </w:style>
  <w:style w:type="character" w:customStyle="1" w:styleId="RodapChar">
    <w:name w:val="Rodapé Char"/>
    <w:basedOn w:val="Fontepargpadro"/>
    <w:link w:val="Rodap"/>
    <w:rsid w:val="00413928"/>
    <w:rPr>
      <w:rFonts w:ascii="Calibri" w:eastAsia="Calibri" w:hAnsi="Calibri" w:cs="Times New Roman"/>
    </w:rPr>
  </w:style>
  <w:style w:type="paragraph" w:styleId="PargrafodaLista">
    <w:name w:val="List Paragraph"/>
    <w:basedOn w:val="Normal"/>
    <w:uiPriority w:val="34"/>
    <w:qFormat/>
    <w:rsid w:val="00413928"/>
    <w:pPr>
      <w:ind w:left="720"/>
      <w:contextualSpacing/>
    </w:pPr>
  </w:style>
  <w:style w:type="paragraph" w:styleId="SemEspaamento">
    <w:name w:val="No Spacing"/>
    <w:uiPriority w:val="1"/>
    <w:qFormat/>
    <w:rsid w:val="00413928"/>
    <w:pPr>
      <w:spacing w:after="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3591</Words>
  <Characters>19392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2024-06-03T18:04:00Z</dcterms:created>
  <dcterms:modified xsi:type="dcterms:W3CDTF">2024-06-03T18:20:00Z</dcterms:modified>
</cp:coreProperties>
</file>