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DE2" w:rsidRDefault="00D76DE2" w:rsidP="00D76DE2">
      <w:pPr>
        <w:spacing w:after="120" w:line="240" w:lineRule="auto"/>
        <w:mirrorIndents/>
        <w:jc w:val="center"/>
        <w:rPr>
          <w:rFonts w:ascii="Bookman Old Style" w:hAnsi="Bookman Old Style"/>
          <w:b/>
          <w:sz w:val="24"/>
          <w:szCs w:val="24"/>
        </w:rPr>
      </w:pPr>
      <w:r>
        <w:rPr>
          <w:rFonts w:ascii="Bookman Old Style" w:hAnsi="Bookman Old Style"/>
          <w:b/>
          <w:sz w:val="24"/>
          <w:szCs w:val="24"/>
        </w:rPr>
        <w:t>ATA DE REGISTRO</w:t>
      </w:r>
      <w:r w:rsidRPr="006A6721">
        <w:rPr>
          <w:rFonts w:ascii="Bookman Old Style" w:hAnsi="Bookman Old Style"/>
          <w:b/>
          <w:sz w:val="24"/>
          <w:szCs w:val="24"/>
        </w:rPr>
        <w:t xml:space="preserve"> Nº. </w:t>
      </w:r>
      <w:r>
        <w:rPr>
          <w:rFonts w:ascii="Bookman Old Style" w:hAnsi="Bookman Old Style"/>
          <w:b/>
          <w:sz w:val="24"/>
          <w:szCs w:val="24"/>
        </w:rPr>
        <w:t>38</w:t>
      </w:r>
      <w:r w:rsidRPr="006A6721">
        <w:rPr>
          <w:rFonts w:ascii="Bookman Old Style" w:hAnsi="Bookman Old Style"/>
          <w:b/>
          <w:sz w:val="24"/>
          <w:szCs w:val="24"/>
        </w:rPr>
        <w:t>/</w:t>
      </w:r>
      <w:r>
        <w:rPr>
          <w:rFonts w:ascii="Bookman Old Style" w:hAnsi="Bookman Old Style"/>
          <w:b/>
          <w:sz w:val="24"/>
          <w:szCs w:val="24"/>
        </w:rPr>
        <w:t>2024</w:t>
      </w:r>
    </w:p>
    <w:p w:rsidR="00D76DE2" w:rsidRDefault="00D76DE2" w:rsidP="00D76DE2">
      <w:pPr>
        <w:spacing w:after="120" w:line="240" w:lineRule="auto"/>
        <w:mirrorIndents/>
        <w:jc w:val="center"/>
        <w:rPr>
          <w:rFonts w:ascii="Bookman Old Style" w:hAnsi="Bookman Old Style"/>
          <w:b/>
          <w:sz w:val="24"/>
          <w:szCs w:val="24"/>
        </w:rPr>
      </w:pPr>
    </w:p>
    <w:p w:rsidR="00D76DE2" w:rsidRPr="006A6721" w:rsidRDefault="00D76DE2" w:rsidP="00745CA4">
      <w:pPr>
        <w:spacing w:after="0" w:line="240" w:lineRule="auto"/>
        <w:mirrorIndents/>
        <w:rPr>
          <w:rFonts w:ascii="Bookman Old Style" w:hAnsi="Bookman Old Style"/>
          <w:b/>
          <w:sz w:val="24"/>
          <w:szCs w:val="24"/>
        </w:rPr>
      </w:pPr>
      <w:r>
        <w:rPr>
          <w:rFonts w:ascii="Bookman Old Style" w:hAnsi="Bookman Old Style"/>
          <w:b/>
          <w:sz w:val="24"/>
          <w:szCs w:val="24"/>
        </w:rPr>
        <w:t>PROCESSO ADMINISTRATIVO Nº 47/2024</w:t>
      </w:r>
    </w:p>
    <w:p w:rsidR="00745CA4" w:rsidRDefault="00D76DE2" w:rsidP="00745CA4">
      <w:pPr>
        <w:spacing w:after="0" w:line="240" w:lineRule="auto"/>
        <w:mirrorIndents/>
        <w:rPr>
          <w:rFonts w:ascii="Bookman Old Style" w:hAnsi="Bookman Old Style"/>
          <w:b/>
          <w:sz w:val="24"/>
          <w:szCs w:val="24"/>
        </w:rPr>
      </w:pPr>
      <w:r>
        <w:rPr>
          <w:rFonts w:ascii="Bookman Old Style" w:hAnsi="Bookman Old Style"/>
          <w:b/>
          <w:sz w:val="24"/>
          <w:szCs w:val="24"/>
        </w:rPr>
        <w:t>EDITAL DE PREGÃO ELETRÔNICO Nº 27/2024</w:t>
      </w:r>
    </w:p>
    <w:p w:rsidR="00D76DE2" w:rsidRPr="006A6721" w:rsidRDefault="00D76DE2" w:rsidP="00745CA4">
      <w:pPr>
        <w:spacing w:after="0" w:line="240" w:lineRule="auto"/>
        <w:mirrorIndents/>
        <w:rPr>
          <w:rFonts w:ascii="Bookman Old Style" w:hAnsi="Bookman Old Style"/>
          <w:b/>
          <w:sz w:val="24"/>
          <w:szCs w:val="24"/>
        </w:rPr>
      </w:pPr>
      <w:r>
        <w:rPr>
          <w:rFonts w:ascii="Bookman Old Style" w:hAnsi="Bookman Old Style"/>
          <w:b/>
          <w:sz w:val="24"/>
          <w:szCs w:val="24"/>
        </w:rPr>
        <w:t xml:space="preserve">  </w:t>
      </w:r>
    </w:p>
    <w:p w:rsidR="00D76DE2" w:rsidRDefault="00D76DE2" w:rsidP="00D76DE2">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Pr>
          <w:rFonts w:ascii="Bookman Old Style" w:hAnsi="Bookman Old Style"/>
          <w:sz w:val="24"/>
          <w:szCs w:val="24"/>
        </w:rPr>
        <w:t>pela autoridade competente Sr. Rudimar Marafon</w:t>
      </w:r>
      <w:r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w:t>
      </w:r>
      <w:r w:rsidRPr="001966A3">
        <w:rPr>
          <w:rFonts w:ascii="Bookman Old Style" w:hAnsi="Bookman Old Style"/>
          <w:b/>
          <w:sz w:val="24"/>
          <w:szCs w:val="24"/>
        </w:rPr>
        <w:t>TARSO MELLO OLIVEIRA LTDA</w:t>
      </w:r>
      <w:r w:rsidRPr="006A6721">
        <w:rPr>
          <w:rFonts w:ascii="Bookman Old Style" w:hAnsi="Bookman Old Style"/>
          <w:sz w:val="24"/>
          <w:szCs w:val="24"/>
        </w:rPr>
        <w:t>, pessoa jurídica de direito privado, inscrita no CNPJ n.</w:t>
      </w:r>
      <w:r>
        <w:rPr>
          <w:rFonts w:ascii="Bookman Old Style" w:hAnsi="Bookman Old Style"/>
          <w:sz w:val="24"/>
          <w:szCs w:val="24"/>
        </w:rPr>
        <w:t xml:space="preserve"> 11.052.224/0001-63</w:t>
      </w:r>
      <w:r w:rsidRPr="006A6721">
        <w:rPr>
          <w:rFonts w:ascii="Bookman Old Style" w:hAnsi="Bookman Old Style"/>
          <w:sz w:val="24"/>
          <w:szCs w:val="24"/>
        </w:rPr>
        <w:t xml:space="preserve">, com sede na </w:t>
      </w:r>
      <w:r>
        <w:rPr>
          <w:rFonts w:ascii="Bookman Old Style" w:hAnsi="Bookman Old Style"/>
          <w:sz w:val="24"/>
          <w:szCs w:val="24"/>
        </w:rPr>
        <w:t xml:space="preserve">R Benjamin Constant Maria </w:t>
      </w:r>
      <w:proofErr w:type="spellStart"/>
      <w:r>
        <w:rPr>
          <w:rFonts w:ascii="Bookman Old Style" w:hAnsi="Bookman Old Style"/>
          <w:sz w:val="24"/>
          <w:szCs w:val="24"/>
        </w:rPr>
        <w:t>Goretti</w:t>
      </w:r>
      <w:proofErr w:type="spellEnd"/>
      <w:r>
        <w:rPr>
          <w:rFonts w:ascii="Bookman Old Style" w:hAnsi="Bookman Old Style"/>
          <w:sz w:val="24"/>
          <w:szCs w:val="24"/>
        </w:rPr>
        <w:t>, Chapeco/SC,</w:t>
      </w:r>
      <w:r w:rsidRPr="006A6721">
        <w:rPr>
          <w:rFonts w:ascii="Bookman Old Style" w:hAnsi="Bookman Old Style"/>
          <w:sz w:val="24"/>
          <w:szCs w:val="24"/>
        </w:rPr>
        <w:t xml:space="preserve"> representada por </w:t>
      </w:r>
      <w:r>
        <w:rPr>
          <w:rFonts w:ascii="Bookman Old Style" w:hAnsi="Bookman Old Style"/>
          <w:sz w:val="24"/>
          <w:szCs w:val="24"/>
        </w:rPr>
        <w:t>Tarso de Mello Oliveira</w:t>
      </w:r>
      <w:r w:rsidRPr="006A6721">
        <w:rPr>
          <w:rFonts w:ascii="Bookman Old Style" w:hAnsi="Bookman Old Style"/>
          <w:sz w:val="24"/>
          <w:szCs w:val="24"/>
        </w:rPr>
        <w:t>, inscrito(a) no CPF n.***.</w:t>
      </w:r>
      <w:r>
        <w:rPr>
          <w:rFonts w:ascii="Bookman Old Style" w:hAnsi="Bookman Old Style"/>
          <w:sz w:val="24"/>
          <w:szCs w:val="24"/>
        </w:rPr>
        <w:t>490.651</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Administrativo</w:t>
      </w:r>
      <w:r>
        <w:rPr>
          <w:rFonts w:ascii="Bookman Old Style" w:hAnsi="Bookman Old Style"/>
          <w:sz w:val="24"/>
          <w:szCs w:val="24"/>
        </w:rPr>
        <w:t xml:space="preserve"> 47</w:t>
      </w:r>
      <w:r w:rsidRPr="006A6721">
        <w:rPr>
          <w:rFonts w:ascii="Bookman Old Style" w:hAnsi="Bookman Old Style"/>
          <w:sz w:val="24"/>
          <w:szCs w:val="24"/>
        </w:rPr>
        <w:t>/</w:t>
      </w:r>
      <w:r>
        <w:rPr>
          <w:rFonts w:ascii="Bookman Old Style" w:hAnsi="Bookman Old Style"/>
          <w:sz w:val="24"/>
          <w:szCs w:val="24"/>
        </w:rPr>
        <w:t xml:space="preserve">2024, Pregão Eletrônico </w:t>
      </w:r>
      <w:r w:rsidRPr="006A6721">
        <w:rPr>
          <w:rFonts w:ascii="Bookman Old Style" w:hAnsi="Bookman Old Style"/>
          <w:sz w:val="24"/>
          <w:szCs w:val="24"/>
        </w:rPr>
        <w:t xml:space="preserve">nº </w:t>
      </w:r>
      <w:r>
        <w:rPr>
          <w:rFonts w:ascii="Bookman Old Style" w:hAnsi="Bookman Old Style"/>
          <w:sz w:val="24"/>
          <w:szCs w:val="24"/>
        </w:rPr>
        <w:t>27</w:t>
      </w:r>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e que se regerá pela Lei n.</w:t>
      </w:r>
      <w:r>
        <w:rPr>
          <w:rFonts w:ascii="Bookman Old Style" w:hAnsi="Bookman Old Style"/>
          <w:sz w:val="24"/>
          <w:szCs w:val="24"/>
        </w:rPr>
        <w:t xml:space="preserve"> </w:t>
      </w:r>
      <w:r w:rsidRPr="006A6721">
        <w:rPr>
          <w:rFonts w:ascii="Bookman Old Style" w:hAnsi="Bookman Old Style"/>
          <w:sz w:val="24"/>
          <w:szCs w:val="24"/>
        </w:rPr>
        <w:t>14.133/20</w:t>
      </w:r>
      <w:r>
        <w:rPr>
          <w:rFonts w:ascii="Bookman Old Style" w:hAnsi="Bookman Old Style"/>
          <w:sz w:val="24"/>
          <w:szCs w:val="24"/>
        </w:rPr>
        <w:t>21 e Decreto Municipal n. 141/2023,</w:t>
      </w:r>
      <w:r w:rsidRPr="006A6721">
        <w:rPr>
          <w:rFonts w:ascii="Bookman Old Style" w:hAnsi="Bookman Old Style"/>
          <w:sz w:val="24"/>
          <w:szCs w:val="24"/>
        </w:rPr>
        <w:t xml:space="preserve"> atendidas as cláusulas e condições a seguir enunciadas:  </w:t>
      </w:r>
    </w:p>
    <w:p w:rsidR="00D76DE2" w:rsidRPr="006A6721" w:rsidRDefault="00D76DE2" w:rsidP="00745CA4">
      <w:pPr>
        <w:spacing w:after="0" w:line="240" w:lineRule="auto"/>
        <w:mirrorIndents/>
        <w:jc w:val="both"/>
        <w:rPr>
          <w:rFonts w:ascii="Bookman Old Style" w:hAnsi="Bookman Old Style"/>
          <w:sz w:val="24"/>
          <w:szCs w:val="24"/>
        </w:rPr>
      </w:pPr>
    </w:p>
    <w:p w:rsidR="00D76DE2" w:rsidRPr="006A6721"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D76DE2" w:rsidRPr="00D31DF0" w:rsidRDefault="00D76DE2" w:rsidP="00D76DE2">
      <w:pPr>
        <w:pStyle w:val="PargrafodaLista"/>
        <w:numPr>
          <w:ilvl w:val="1"/>
          <w:numId w:val="1"/>
        </w:numPr>
        <w:spacing w:after="120" w:line="240" w:lineRule="auto"/>
        <w:ind w:left="0" w:firstLine="0"/>
        <w:jc w:val="both"/>
        <w:rPr>
          <w:rFonts w:ascii="Bookman Old Style" w:hAnsi="Bookman Old Style"/>
          <w:b/>
          <w:bCs/>
          <w:sz w:val="24"/>
          <w:szCs w:val="24"/>
        </w:rPr>
      </w:pPr>
      <w:r w:rsidRPr="00D31DF0">
        <w:rPr>
          <w:rFonts w:ascii="Bookman Old Style" w:hAnsi="Bookman Old Style"/>
          <w:sz w:val="24"/>
          <w:szCs w:val="24"/>
        </w:rPr>
        <w:t>O objeto do presente contrato é o</w:t>
      </w:r>
      <w:r w:rsidRPr="00D31DF0">
        <w:rPr>
          <w:rFonts w:ascii="Bookman Old Style" w:hAnsi="Bookman Old Style" w:cs="Segoe UI"/>
          <w:b/>
          <w:bCs/>
          <w:sz w:val="24"/>
          <w:szCs w:val="24"/>
        </w:rPr>
        <w:t xml:space="preserve"> </w:t>
      </w:r>
      <w:r w:rsidRPr="00866673">
        <w:rPr>
          <w:rFonts w:ascii="Bookman Old Style" w:hAnsi="Bookman Old Style"/>
          <w:b/>
          <w:sz w:val="24"/>
          <w:szCs w:val="24"/>
        </w:rPr>
        <w:t xml:space="preserve">REGISTRO DE PREÇO PARA </w:t>
      </w:r>
      <w:r>
        <w:rPr>
          <w:rFonts w:ascii="Bookman Old Style" w:hAnsi="Bookman Old Style"/>
          <w:b/>
          <w:sz w:val="24"/>
          <w:szCs w:val="24"/>
        </w:rPr>
        <w:t>FUTURA E EVENTUAL</w:t>
      </w:r>
      <w:r w:rsidRPr="00866673">
        <w:rPr>
          <w:rFonts w:ascii="Bookman Old Style" w:hAnsi="Bookman Old Style"/>
          <w:b/>
          <w:sz w:val="24"/>
          <w:szCs w:val="24"/>
        </w:rPr>
        <w:t xml:space="preserve"> AQUISIÇÃO DE SEMENTES DE PASTAGENS </w:t>
      </w:r>
      <w:r>
        <w:rPr>
          <w:rFonts w:ascii="Bookman Old Style" w:hAnsi="Bookman Old Style"/>
          <w:b/>
          <w:sz w:val="24"/>
          <w:szCs w:val="24"/>
        </w:rPr>
        <w:t xml:space="preserve">PARA </w:t>
      </w:r>
      <w:r w:rsidRPr="00866673">
        <w:rPr>
          <w:rFonts w:ascii="Bookman Old Style" w:hAnsi="Bookman Old Style"/>
          <w:b/>
          <w:sz w:val="24"/>
          <w:szCs w:val="24"/>
        </w:rPr>
        <w:t>O MUNICÍPIO DE CORDILHEIRA ALTA/SC</w:t>
      </w:r>
      <w:r w:rsidRPr="00D31DF0">
        <w:rPr>
          <w:rFonts w:ascii="Bookman Old Style" w:hAnsi="Bookman Old Style" w:cs="Segoe UI"/>
          <w:sz w:val="24"/>
          <w:szCs w:val="24"/>
        </w:rPr>
        <w:t>, conforme tabela a seguir:</w:t>
      </w:r>
    </w:p>
    <w:p w:rsidR="00D76DE2" w:rsidRDefault="00D76DE2" w:rsidP="00D76DE2">
      <w:pPr>
        <w:spacing w:after="120" w:line="240" w:lineRule="auto"/>
        <w:jc w:val="both"/>
        <w:rPr>
          <w:rFonts w:ascii="Bookman Old Style" w:hAnsi="Bookman Old Style"/>
          <w:b/>
          <w:sz w:val="24"/>
          <w:szCs w:val="24"/>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685"/>
        <w:gridCol w:w="1134"/>
        <w:gridCol w:w="1163"/>
        <w:gridCol w:w="1276"/>
        <w:gridCol w:w="1530"/>
      </w:tblGrid>
      <w:tr w:rsidR="006538B8" w:rsidRPr="0048093B" w:rsidTr="00582E06">
        <w:trPr>
          <w:cantSplit/>
          <w:tblHeader/>
        </w:trPr>
        <w:tc>
          <w:tcPr>
            <w:tcW w:w="851" w:type="dxa"/>
            <w:vAlign w:val="center"/>
          </w:tcPr>
          <w:p w:rsidR="006538B8" w:rsidRPr="0048093B" w:rsidRDefault="006538B8" w:rsidP="009F73D6">
            <w:pPr>
              <w:pBdr>
                <w:top w:val="nil"/>
                <w:left w:val="nil"/>
                <w:bottom w:val="nil"/>
                <w:right w:val="nil"/>
                <w:between w:val="nil"/>
              </w:pBdr>
              <w:spacing w:after="120" w:line="240" w:lineRule="auto"/>
              <w:jc w:val="center"/>
              <w:rPr>
                <w:rFonts w:ascii="Agency FB" w:eastAsia="Arial" w:hAnsi="Agency FB" w:cs="Arial"/>
                <w:b/>
                <w:color w:val="000000"/>
                <w:sz w:val="18"/>
                <w:szCs w:val="18"/>
              </w:rPr>
            </w:pPr>
            <w:r w:rsidRPr="0048093B">
              <w:rPr>
                <w:rFonts w:ascii="Agency FB" w:eastAsia="Arial" w:hAnsi="Agency FB" w:cs="Arial"/>
                <w:b/>
                <w:color w:val="000000"/>
                <w:sz w:val="18"/>
                <w:szCs w:val="18"/>
              </w:rPr>
              <w:t>ITEM</w:t>
            </w:r>
          </w:p>
        </w:tc>
        <w:tc>
          <w:tcPr>
            <w:tcW w:w="3685" w:type="dxa"/>
            <w:vAlign w:val="center"/>
          </w:tcPr>
          <w:p w:rsidR="006538B8" w:rsidRPr="0048093B" w:rsidRDefault="006538B8" w:rsidP="009F73D6">
            <w:pPr>
              <w:pBdr>
                <w:top w:val="nil"/>
                <w:left w:val="nil"/>
                <w:bottom w:val="nil"/>
                <w:right w:val="nil"/>
                <w:between w:val="nil"/>
              </w:pBdr>
              <w:spacing w:after="120" w:line="240" w:lineRule="auto"/>
              <w:jc w:val="center"/>
              <w:rPr>
                <w:rFonts w:ascii="Agency FB" w:eastAsia="Arial" w:hAnsi="Agency FB" w:cs="Arial"/>
                <w:b/>
                <w:color w:val="000000"/>
                <w:sz w:val="18"/>
                <w:szCs w:val="18"/>
              </w:rPr>
            </w:pPr>
            <w:r w:rsidRPr="0048093B">
              <w:rPr>
                <w:rFonts w:ascii="Agency FB" w:eastAsia="Arial" w:hAnsi="Agency FB" w:cs="Arial"/>
                <w:b/>
                <w:color w:val="000000"/>
                <w:sz w:val="18"/>
                <w:szCs w:val="18"/>
              </w:rPr>
              <w:t>ESPECIFICAÇÃO</w:t>
            </w:r>
          </w:p>
        </w:tc>
        <w:tc>
          <w:tcPr>
            <w:tcW w:w="1134" w:type="dxa"/>
            <w:vAlign w:val="center"/>
          </w:tcPr>
          <w:p w:rsidR="006538B8" w:rsidRPr="0048093B" w:rsidRDefault="006538B8" w:rsidP="009F73D6">
            <w:pPr>
              <w:pBdr>
                <w:top w:val="nil"/>
                <w:left w:val="nil"/>
                <w:bottom w:val="nil"/>
                <w:right w:val="nil"/>
                <w:between w:val="nil"/>
              </w:pBdr>
              <w:spacing w:after="120" w:line="240" w:lineRule="auto"/>
              <w:jc w:val="center"/>
              <w:rPr>
                <w:rFonts w:ascii="Agency FB" w:eastAsia="Arial" w:hAnsi="Agency FB" w:cs="Arial"/>
                <w:b/>
                <w:color w:val="000000"/>
                <w:sz w:val="18"/>
                <w:szCs w:val="18"/>
              </w:rPr>
            </w:pPr>
            <w:r w:rsidRPr="0048093B">
              <w:rPr>
                <w:rFonts w:ascii="Agency FB" w:eastAsia="Arial" w:hAnsi="Agency FB" w:cs="Arial"/>
                <w:b/>
                <w:color w:val="000000"/>
                <w:sz w:val="18"/>
                <w:szCs w:val="18"/>
              </w:rPr>
              <w:t>UNID. DE MEDIDA</w:t>
            </w:r>
          </w:p>
        </w:tc>
        <w:tc>
          <w:tcPr>
            <w:tcW w:w="1163" w:type="dxa"/>
            <w:vAlign w:val="center"/>
          </w:tcPr>
          <w:p w:rsidR="006538B8" w:rsidRPr="0048093B" w:rsidRDefault="006538B8" w:rsidP="009F73D6">
            <w:pPr>
              <w:pBdr>
                <w:top w:val="nil"/>
                <w:left w:val="nil"/>
                <w:bottom w:val="nil"/>
                <w:right w:val="nil"/>
                <w:between w:val="nil"/>
              </w:pBdr>
              <w:spacing w:after="120" w:line="240" w:lineRule="auto"/>
              <w:jc w:val="center"/>
              <w:rPr>
                <w:rFonts w:ascii="Agency FB" w:eastAsia="Arial" w:hAnsi="Agency FB" w:cs="Arial"/>
                <w:b/>
                <w:color w:val="000000"/>
                <w:sz w:val="18"/>
                <w:szCs w:val="18"/>
              </w:rPr>
            </w:pPr>
            <w:r w:rsidRPr="0048093B">
              <w:rPr>
                <w:rFonts w:ascii="Agency FB" w:eastAsia="Arial" w:hAnsi="Agency FB" w:cs="Arial"/>
                <w:b/>
                <w:color w:val="000000"/>
                <w:sz w:val="18"/>
                <w:szCs w:val="18"/>
              </w:rPr>
              <w:t>QUANT.</w:t>
            </w:r>
          </w:p>
        </w:tc>
        <w:tc>
          <w:tcPr>
            <w:tcW w:w="1276" w:type="dxa"/>
            <w:vAlign w:val="center"/>
          </w:tcPr>
          <w:p w:rsidR="006538B8" w:rsidRPr="0048093B" w:rsidRDefault="006538B8" w:rsidP="009F73D6">
            <w:pPr>
              <w:pBdr>
                <w:top w:val="nil"/>
                <w:left w:val="nil"/>
                <w:bottom w:val="nil"/>
                <w:right w:val="nil"/>
                <w:between w:val="nil"/>
              </w:pBdr>
              <w:spacing w:after="120" w:line="240" w:lineRule="auto"/>
              <w:jc w:val="center"/>
              <w:rPr>
                <w:rFonts w:ascii="Agency FB" w:eastAsia="Arial" w:hAnsi="Agency FB" w:cs="Arial"/>
                <w:b/>
                <w:color w:val="000000"/>
                <w:sz w:val="18"/>
                <w:szCs w:val="18"/>
              </w:rPr>
            </w:pPr>
            <w:r w:rsidRPr="0048093B">
              <w:rPr>
                <w:rFonts w:ascii="Agency FB" w:eastAsia="Arial" w:hAnsi="Agency FB" w:cs="Arial"/>
                <w:b/>
                <w:color w:val="000000"/>
                <w:sz w:val="18"/>
                <w:szCs w:val="18"/>
              </w:rPr>
              <w:t xml:space="preserve">VALOR </w:t>
            </w:r>
            <w:r w:rsidRPr="0048093B">
              <w:rPr>
                <w:rFonts w:ascii="Agency FB" w:eastAsia="Arial" w:hAnsi="Agency FB" w:cs="Arial"/>
                <w:b/>
                <w:sz w:val="18"/>
                <w:szCs w:val="18"/>
              </w:rPr>
              <w:t>UNIT.</w:t>
            </w:r>
          </w:p>
        </w:tc>
        <w:tc>
          <w:tcPr>
            <w:tcW w:w="1530" w:type="dxa"/>
            <w:vAlign w:val="center"/>
          </w:tcPr>
          <w:p w:rsidR="006538B8" w:rsidRPr="0048093B" w:rsidRDefault="006538B8" w:rsidP="009F73D6">
            <w:pPr>
              <w:pBdr>
                <w:top w:val="nil"/>
                <w:left w:val="nil"/>
                <w:bottom w:val="nil"/>
                <w:right w:val="nil"/>
                <w:between w:val="nil"/>
              </w:pBdr>
              <w:spacing w:after="120" w:line="240" w:lineRule="auto"/>
              <w:jc w:val="center"/>
              <w:rPr>
                <w:rFonts w:ascii="Agency FB" w:eastAsia="Arial" w:hAnsi="Agency FB" w:cs="Arial"/>
                <w:b/>
                <w:color w:val="000000"/>
                <w:sz w:val="18"/>
                <w:szCs w:val="18"/>
              </w:rPr>
            </w:pPr>
            <w:r w:rsidRPr="0048093B">
              <w:rPr>
                <w:rFonts w:ascii="Agency FB" w:eastAsia="Arial" w:hAnsi="Agency FB" w:cs="Arial"/>
                <w:b/>
                <w:color w:val="000000"/>
                <w:sz w:val="18"/>
                <w:szCs w:val="18"/>
              </w:rPr>
              <w:t>VALOR TOTAL</w:t>
            </w:r>
          </w:p>
        </w:tc>
      </w:tr>
      <w:tr w:rsidR="006538B8" w:rsidRPr="0048093B" w:rsidTr="00582E06">
        <w:trPr>
          <w:cantSplit/>
          <w:tblHeader/>
        </w:trPr>
        <w:tc>
          <w:tcPr>
            <w:tcW w:w="851" w:type="dxa"/>
          </w:tcPr>
          <w:p w:rsidR="006538B8" w:rsidRPr="0048093B" w:rsidRDefault="006538B8" w:rsidP="009F73D6">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48093B">
              <w:rPr>
                <w:rFonts w:ascii="Bookman Old Style" w:eastAsia="Arial" w:hAnsi="Bookman Old Style" w:cs="Arial"/>
                <w:color w:val="000000"/>
                <w:sz w:val="18"/>
                <w:szCs w:val="18"/>
              </w:rPr>
              <w:t>1</w:t>
            </w:r>
          </w:p>
        </w:tc>
        <w:tc>
          <w:tcPr>
            <w:tcW w:w="3685" w:type="dxa"/>
          </w:tcPr>
          <w:p w:rsidR="006538B8" w:rsidRPr="0048093B" w:rsidRDefault="006538B8" w:rsidP="009F73D6">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48093B">
              <w:rPr>
                <w:rFonts w:ascii="Arial" w:hAnsi="Arial" w:cs="Arial"/>
                <w:sz w:val="18"/>
                <w:szCs w:val="18"/>
              </w:rPr>
              <w:t>Sementes selecionadas e certificadas de AVEIA PRETA, com germinação mínima de 80% pureza mínima pureza mínima 90%-safra igual ou superior a 2023, acondicionada em embalagens de 40 (quarenta) kg</w:t>
            </w:r>
          </w:p>
        </w:tc>
        <w:tc>
          <w:tcPr>
            <w:tcW w:w="1134" w:type="dxa"/>
          </w:tcPr>
          <w:p w:rsidR="006538B8" w:rsidRPr="0048093B" w:rsidRDefault="006538B8" w:rsidP="009F73D6">
            <w:pPr>
              <w:pBdr>
                <w:top w:val="nil"/>
                <w:left w:val="nil"/>
                <w:bottom w:val="nil"/>
                <w:right w:val="nil"/>
                <w:between w:val="nil"/>
              </w:pBdr>
              <w:spacing w:after="120" w:line="240" w:lineRule="auto"/>
              <w:jc w:val="center"/>
              <w:rPr>
                <w:rFonts w:ascii="Bookman Old Style" w:eastAsia="Arial" w:hAnsi="Bookman Old Style" w:cs="Arial"/>
                <w:color w:val="000000"/>
                <w:sz w:val="18"/>
                <w:szCs w:val="18"/>
              </w:rPr>
            </w:pPr>
            <w:r w:rsidRPr="0048093B">
              <w:rPr>
                <w:rFonts w:ascii="Bookman Old Style" w:eastAsia="Arial" w:hAnsi="Bookman Old Style" w:cs="Arial"/>
                <w:color w:val="000000"/>
                <w:sz w:val="18"/>
                <w:szCs w:val="18"/>
              </w:rPr>
              <w:t>KG</w:t>
            </w:r>
          </w:p>
        </w:tc>
        <w:tc>
          <w:tcPr>
            <w:tcW w:w="1163" w:type="dxa"/>
          </w:tcPr>
          <w:p w:rsidR="006538B8" w:rsidRPr="0048093B" w:rsidRDefault="006538B8" w:rsidP="009F73D6">
            <w:pPr>
              <w:pBdr>
                <w:top w:val="nil"/>
                <w:left w:val="nil"/>
                <w:bottom w:val="nil"/>
                <w:right w:val="nil"/>
                <w:between w:val="nil"/>
              </w:pBdr>
              <w:spacing w:after="120" w:line="240" w:lineRule="auto"/>
              <w:jc w:val="center"/>
              <w:rPr>
                <w:rFonts w:ascii="Bookman Old Style" w:eastAsia="Arial" w:hAnsi="Bookman Old Style" w:cs="Arial"/>
                <w:color w:val="000000"/>
                <w:sz w:val="18"/>
                <w:szCs w:val="18"/>
              </w:rPr>
            </w:pPr>
            <w:r w:rsidRPr="0048093B">
              <w:rPr>
                <w:rFonts w:ascii="Arial" w:hAnsi="Arial" w:cs="Arial"/>
                <w:sz w:val="18"/>
                <w:szCs w:val="18"/>
              </w:rPr>
              <w:t>20.000 (vinte mil quilos)</w:t>
            </w:r>
          </w:p>
        </w:tc>
        <w:tc>
          <w:tcPr>
            <w:tcW w:w="1276" w:type="dxa"/>
          </w:tcPr>
          <w:p w:rsidR="006538B8" w:rsidRPr="0048093B" w:rsidRDefault="006538B8" w:rsidP="009F73D6">
            <w:pPr>
              <w:pBdr>
                <w:top w:val="nil"/>
                <w:left w:val="nil"/>
                <w:bottom w:val="nil"/>
                <w:right w:val="nil"/>
                <w:between w:val="nil"/>
              </w:pBdr>
              <w:spacing w:after="120" w:line="240" w:lineRule="auto"/>
              <w:jc w:val="center"/>
              <w:rPr>
                <w:rFonts w:ascii="Bookman Old Style" w:eastAsia="Arial" w:hAnsi="Bookman Old Style" w:cs="Arial"/>
                <w:color w:val="000000"/>
                <w:sz w:val="18"/>
                <w:szCs w:val="18"/>
              </w:rPr>
            </w:pPr>
            <w:r w:rsidRPr="0048093B">
              <w:rPr>
                <w:rFonts w:ascii="Bookman Old Style" w:eastAsia="Arial" w:hAnsi="Bookman Old Style" w:cs="Arial"/>
                <w:color w:val="000000"/>
                <w:sz w:val="18"/>
                <w:szCs w:val="18"/>
              </w:rPr>
              <w:t xml:space="preserve">R$ </w:t>
            </w:r>
            <w:r>
              <w:rPr>
                <w:rFonts w:ascii="Bookman Old Style" w:eastAsia="Arial" w:hAnsi="Bookman Old Style" w:cs="Arial"/>
                <w:color w:val="000000"/>
                <w:sz w:val="18"/>
                <w:szCs w:val="18"/>
              </w:rPr>
              <w:t>2,98</w:t>
            </w:r>
          </w:p>
        </w:tc>
        <w:tc>
          <w:tcPr>
            <w:tcW w:w="1530" w:type="dxa"/>
          </w:tcPr>
          <w:p w:rsidR="006538B8" w:rsidRPr="0048093B" w:rsidRDefault="006538B8" w:rsidP="009F73D6">
            <w:pPr>
              <w:pBdr>
                <w:top w:val="nil"/>
                <w:left w:val="nil"/>
                <w:bottom w:val="nil"/>
                <w:right w:val="nil"/>
                <w:between w:val="nil"/>
              </w:pBdr>
              <w:spacing w:after="120" w:line="240" w:lineRule="auto"/>
              <w:jc w:val="center"/>
              <w:rPr>
                <w:rFonts w:ascii="Bookman Old Style" w:eastAsia="Arial" w:hAnsi="Bookman Old Style" w:cs="Arial"/>
                <w:color w:val="000000"/>
                <w:sz w:val="18"/>
                <w:szCs w:val="18"/>
              </w:rPr>
            </w:pPr>
            <w:r w:rsidRPr="0048093B">
              <w:rPr>
                <w:rFonts w:ascii="Bookman Old Style" w:eastAsia="Arial" w:hAnsi="Bookman Old Style" w:cs="Arial"/>
                <w:color w:val="000000"/>
                <w:sz w:val="18"/>
                <w:szCs w:val="18"/>
              </w:rPr>
              <w:t xml:space="preserve">R$ </w:t>
            </w:r>
            <w:r>
              <w:rPr>
                <w:rFonts w:ascii="Bookman Old Style" w:eastAsia="Arial" w:hAnsi="Bookman Old Style" w:cs="Arial"/>
                <w:color w:val="000000"/>
                <w:sz w:val="18"/>
                <w:szCs w:val="18"/>
              </w:rPr>
              <w:t>59.600,00</w:t>
            </w:r>
          </w:p>
        </w:tc>
      </w:tr>
      <w:tr w:rsidR="006538B8" w:rsidRPr="0048093B" w:rsidTr="00582E06">
        <w:trPr>
          <w:cantSplit/>
          <w:tblHeader/>
        </w:trPr>
        <w:tc>
          <w:tcPr>
            <w:tcW w:w="6833" w:type="dxa"/>
            <w:gridSpan w:val="4"/>
          </w:tcPr>
          <w:p w:rsidR="006538B8" w:rsidRPr="0048093B" w:rsidRDefault="006538B8" w:rsidP="009F73D6">
            <w:pPr>
              <w:pBdr>
                <w:top w:val="nil"/>
                <w:left w:val="nil"/>
                <w:bottom w:val="nil"/>
                <w:right w:val="nil"/>
                <w:between w:val="nil"/>
              </w:pBdr>
              <w:spacing w:after="120" w:line="240" w:lineRule="auto"/>
              <w:jc w:val="center"/>
              <w:rPr>
                <w:rFonts w:ascii="Bookman Old Style" w:eastAsia="Arial" w:hAnsi="Bookman Old Style" w:cs="Arial"/>
                <w:b/>
                <w:color w:val="000000"/>
                <w:sz w:val="18"/>
                <w:szCs w:val="18"/>
              </w:rPr>
            </w:pPr>
            <w:r w:rsidRPr="0048093B">
              <w:rPr>
                <w:rFonts w:ascii="Bookman Old Style" w:eastAsia="Arial" w:hAnsi="Bookman Old Style" w:cs="Arial"/>
                <w:b/>
                <w:color w:val="000000"/>
                <w:sz w:val="18"/>
                <w:szCs w:val="18"/>
              </w:rPr>
              <w:t>TOTAIS (R$)</w:t>
            </w:r>
          </w:p>
        </w:tc>
        <w:tc>
          <w:tcPr>
            <w:tcW w:w="1276" w:type="dxa"/>
          </w:tcPr>
          <w:p w:rsidR="006538B8" w:rsidRPr="0048093B" w:rsidRDefault="006538B8" w:rsidP="009F73D6">
            <w:pPr>
              <w:pBdr>
                <w:top w:val="nil"/>
                <w:left w:val="nil"/>
                <w:bottom w:val="nil"/>
                <w:right w:val="nil"/>
                <w:between w:val="nil"/>
              </w:pBdr>
              <w:spacing w:after="120" w:line="240" w:lineRule="auto"/>
              <w:jc w:val="center"/>
              <w:rPr>
                <w:rFonts w:ascii="Bookman Old Style" w:eastAsia="Arial" w:hAnsi="Bookman Old Style" w:cs="Arial"/>
                <w:color w:val="000000"/>
                <w:sz w:val="18"/>
                <w:szCs w:val="18"/>
              </w:rPr>
            </w:pPr>
          </w:p>
        </w:tc>
        <w:tc>
          <w:tcPr>
            <w:tcW w:w="1530" w:type="dxa"/>
          </w:tcPr>
          <w:p w:rsidR="006538B8" w:rsidRPr="0048093B" w:rsidRDefault="006538B8" w:rsidP="009F73D6">
            <w:pPr>
              <w:pBdr>
                <w:top w:val="nil"/>
                <w:left w:val="nil"/>
                <w:bottom w:val="nil"/>
                <w:right w:val="nil"/>
                <w:between w:val="nil"/>
              </w:pBdr>
              <w:spacing w:after="120" w:line="240" w:lineRule="auto"/>
              <w:jc w:val="center"/>
              <w:rPr>
                <w:rFonts w:ascii="Bookman Old Style" w:eastAsia="Arial" w:hAnsi="Bookman Old Style" w:cs="Arial"/>
                <w:color w:val="000000"/>
                <w:sz w:val="18"/>
                <w:szCs w:val="18"/>
              </w:rPr>
            </w:pPr>
            <w:r w:rsidRPr="0048093B">
              <w:rPr>
                <w:rFonts w:ascii="Bookman Old Style" w:eastAsia="Arial" w:hAnsi="Bookman Old Style" w:cs="Arial"/>
                <w:color w:val="000000"/>
                <w:sz w:val="18"/>
                <w:szCs w:val="18"/>
              </w:rPr>
              <w:t xml:space="preserve">R$ </w:t>
            </w:r>
            <w:r>
              <w:rPr>
                <w:rFonts w:ascii="Bookman Old Style" w:eastAsia="Arial" w:hAnsi="Bookman Old Style" w:cs="Arial"/>
                <w:color w:val="000000"/>
                <w:sz w:val="18"/>
                <w:szCs w:val="18"/>
              </w:rPr>
              <w:t>59.600,00</w:t>
            </w:r>
          </w:p>
        </w:tc>
      </w:tr>
    </w:tbl>
    <w:p w:rsidR="00D76DE2" w:rsidRPr="009E77E7" w:rsidRDefault="00D76DE2" w:rsidP="00745CA4">
      <w:pPr>
        <w:spacing w:after="0" w:line="240" w:lineRule="auto"/>
        <w:jc w:val="both"/>
        <w:rPr>
          <w:rFonts w:ascii="Bookman Old Style" w:hAnsi="Bookman Old Style"/>
          <w:b/>
          <w:sz w:val="24"/>
          <w:szCs w:val="24"/>
        </w:rPr>
      </w:pPr>
    </w:p>
    <w:p w:rsidR="00D76DE2" w:rsidRDefault="00D76DE2" w:rsidP="00D76DE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rsidR="00D76DE2" w:rsidRDefault="00D76DE2" w:rsidP="00745CA4">
      <w:pPr>
        <w:spacing w:after="0" w:line="240" w:lineRule="auto"/>
        <w:mirrorIndents/>
        <w:jc w:val="both"/>
        <w:rPr>
          <w:rFonts w:ascii="Bookman Old Style" w:hAnsi="Bookman Old Style"/>
          <w:sz w:val="24"/>
          <w:szCs w:val="24"/>
        </w:rPr>
      </w:pPr>
    </w:p>
    <w:p w:rsidR="00D76DE2"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Pr>
          <w:rFonts w:ascii="Bookman Old Style" w:hAnsi="Bookman Old Style"/>
          <w:b/>
          <w:sz w:val="24"/>
          <w:szCs w:val="24"/>
        </w:rPr>
        <w:t>REGISTRADO</w:t>
      </w:r>
    </w:p>
    <w:p w:rsidR="00D76DE2" w:rsidRDefault="00D76DE2" w:rsidP="00D76DE2">
      <w:pPr>
        <w:spacing w:after="12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w:t>
      </w:r>
      <w:r w:rsidRPr="00A5338F">
        <w:rPr>
          <w:rFonts w:ascii="Bookman Old Style" w:hAnsi="Bookman Old Style"/>
          <w:b/>
          <w:sz w:val="24"/>
          <w:szCs w:val="24"/>
        </w:rPr>
        <w:t xml:space="preserve">R$ </w:t>
      </w:r>
      <w:r w:rsidR="00A5338F" w:rsidRPr="00A5338F">
        <w:rPr>
          <w:rFonts w:ascii="Bookman Old Style" w:hAnsi="Bookman Old Style"/>
          <w:b/>
          <w:sz w:val="24"/>
          <w:szCs w:val="24"/>
        </w:rPr>
        <w:t>59.600,00</w:t>
      </w:r>
      <w:r>
        <w:rPr>
          <w:rFonts w:ascii="Bookman Old Style" w:hAnsi="Bookman Old Style"/>
          <w:sz w:val="24"/>
          <w:szCs w:val="24"/>
        </w:rPr>
        <w:t xml:space="preserve"> (</w:t>
      </w:r>
      <w:r w:rsidR="00A5338F">
        <w:rPr>
          <w:rFonts w:ascii="Bookman Old Style" w:hAnsi="Bookman Old Style"/>
          <w:sz w:val="24"/>
          <w:szCs w:val="24"/>
        </w:rPr>
        <w:t>Cinquenta e nove mil e seiscentos reais</w:t>
      </w:r>
      <w:r>
        <w:rPr>
          <w:rFonts w:ascii="Bookman Old Style" w:hAnsi="Bookman Old Style"/>
          <w:sz w:val="24"/>
          <w:szCs w:val="24"/>
        </w:rPr>
        <w:t>).</w:t>
      </w:r>
    </w:p>
    <w:p w:rsidR="00D76DE2" w:rsidRDefault="00D76DE2" w:rsidP="00D76DE2">
      <w:pPr>
        <w:spacing w:after="12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serão pagos na possível aquisição dos produtos/serviços são aqueles especificados na tabela do item 1.1 desta Ata.</w:t>
      </w:r>
    </w:p>
    <w:p w:rsidR="00D76DE2" w:rsidRDefault="00D76DE2" w:rsidP="00D76DE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a ela.  </w:t>
      </w:r>
    </w:p>
    <w:p w:rsidR="00D76DE2" w:rsidRDefault="00D76DE2" w:rsidP="00D76DE2">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rsidR="00D76DE2" w:rsidRDefault="00D76DE2" w:rsidP="00D76DE2">
      <w:pPr>
        <w:spacing w:after="12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2.4.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retenção do IRRF nas contratações de bens e serviços pelo Município de Cordilheira Alta/SC.</w:t>
      </w:r>
    </w:p>
    <w:p w:rsidR="00D76DE2" w:rsidRDefault="00D76DE2" w:rsidP="00745CA4">
      <w:pPr>
        <w:spacing w:after="0" w:line="240" w:lineRule="auto"/>
        <w:mirrorIndents/>
        <w:jc w:val="both"/>
        <w:rPr>
          <w:rFonts w:ascii="Bookman Old Style" w:hAnsi="Bookman Old Style"/>
          <w:sz w:val="24"/>
          <w:szCs w:val="24"/>
        </w:rPr>
      </w:pPr>
    </w:p>
    <w:p w:rsidR="00D76DE2"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rsidR="00D76DE2" w:rsidRPr="0016220B" w:rsidRDefault="00D76DE2" w:rsidP="00D76DE2">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3.1. A ata de registro de preços terá vigência de 1 (um) ano</w:t>
      </w:r>
      <w:r>
        <w:rPr>
          <w:rFonts w:ascii="Bookman Old Style" w:hAnsi="Bookman Old Style"/>
          <w:sz w:val="24"/>
          <w:szCs w:val="24"/>
        </w:rPr>
        <w:t>, passível de prorrogação.</w:t>
      </w:r>
    </w:p>
    <w:p w:rsidR="00D76DE2" w:rsidRPr="0016220B" w:rsidRDefault="00D76DE2" w:rsidP="00D76DE2">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3.1.1. Fica vedado efetuar acréscimos nos quantitativos estabelecidos n</w:t>
      </w:r>
      <w:r>
        <w:rPr>
          <w:rFonts w:ascii="Bookman Old Style" w:hAnsi="Bookman Old Style"/>
          <w:sz w:val="24"/>
          <w:szCs w:val="24"/>
        </w:rPr>
        <w:t>esta</w:t>
      </w:r>
      <w:r w:rsidRPr="0016220B">
        <w:rPr>
          <w:rFonts w:ascii="Bookman Old Style" w:hAnsi="Bookman Old Style"/>
          <w:sz w:val="24"/>
          <w:szCs w:val="24"/>
        </w:rPr>
        <w:t xml:space="preserve"> ata de registro de preços.</w:t>
      </w:r>
    </w:p>
    <w:p w:rsidR="00D76DE2" w:rsidRDefault="00D76DE2" w:rsidP="00D76DE2">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3.2. 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rsidR="00D76DE2" w:rsidRDefault="00D76DE2" w:rsidP="00745CA4">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D76DE2" w:rsidRPr="00E73FC2"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QUARTA</w:t>
      </w:r>
      <w:r>
        <w:rPr>
          <w:rFonts w:ascii="Bookman Old Style" w:hAnsi="Bookman Old Style"/>
          <w:b/>
          <w:sz w:val="24"/>
          <w:szCs w:val="24"/>
        </w:rPr>
        <w:t xml:space="preserve"> </w:t>
      </w:r>
      <w:r w:rsidRPr="006A6721">
        <w:rPr>
          <w:rFonts w:ascii="Bookman Old Style" w:hAnsi="Bookman Old Style"/>
          <w:b/>
          <w:sz w:val="24"/>
          <w:szCs w:val="24"/>
        </w:rPr>
        <w:t>- DO PRAZO, FORMA E LOCAL DE FORNECIMENTO</w:t>
      </w:r>
    </w:p>
    <w:p w:rsidR="00D76DE2" w:rsidRPr="00EF2FC9" w:rsidRDefault="00D76DE2" w:rsidP="00745CA4">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EF2FC9">
        <w:rPr>
          <w:rFonts w:ascii="Bookman Old Style" w:eastAsia="Arial" w:hAnsi="Bookman Old Style" w:cs="Arial"/>
          <w:sz w:val="24"/>
          <w:szCs w:val="24"/>
        </w:rPr>
        <w:t>O prazo de entrega dos bens é de até 3 (três) dias úteis, contados da data de recebimento da autorização de fornecimento.</w:t>
      </w:r>
    </w:p>
    <w:p w:rsidR="00D76DE2" w:rsidRPr="00EF2FC9" w:rsidRDefault="00D76DE2" w:rsidP="00745CA4">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EF2FC9">
        <w:rPr>
          <w:rFonts w:ascii="Bookman Old Style" w:eastAsia="Arial" w:hAnsi="Bookman Old Style" w:cs="Arial"/>
          <w:sz w:val="24"/>
          <w:szCs w:val="24"/>
        </w:rPr>
        <w:t xml:space="preserve">Os bens deverão ser entregues no seguinte endereço: Rua Celso </w:t>
      </w:r>
      <w:proofErr w:type="spellStart"/>
      <w:r w:rsidRPr="00EF2FC9">
        <w:rPr>
          <w:rFonts w:ascii="Bookman Old Style" w:eastAsia="Arial" w:hAnsi="Bookman Old Style" w:cs="Arial"/>
          <w:sz w:val="24"/>
          <w:szCs w:val="24"/>
        </w:rPr>
        <w:t>Tozzo</w:t>
      </w:r>
      <w:proofErr w:type="spellEnd"/>
      <w:r w:rsidRPr="00EF2FC9">
        <w:rPr>
          <w:rFonts w:ascii="Bookman Old Style" w:eastAsia="Arial" w:hAnsi="Bookman Old Style" w:cs="Arial"/>
          <w:sz w:val="24"/>
          <w:szCs w:val="24"/>
        </w:rPr>
        <w:t xml:space="preserve"> nº 27, Centro, Cordilheira Alta SC, aos cuidados da Secretaria de Agricultura.</w:t>
      </w:r>
    </w:p>
    <w:p w:rsidR="00D76DE2" w:rsidRPr="00C532EC" w:rsidRDefault="00D76DE2" w:rsidP="00745CA4">
      <w:pPr>
        <w:numPr>
          <w:ilvl w:val="2"/>
          <w:numId w:val="9"/>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C532EC">
        <w:rPr>
          <w:rFonts w:ascii="Bookman Old Style" w:eastAsia="Arial" w:hAnsi="Bookman Old Style" w:cs="Arial"/>
          <w:sz w:val="24"/>
          <w:szCs w:val="24"/>
        </w:rPr>
        <w:t xml:space="preserve">O objeto </w:t>
      </w:r>
      <w:r w:rsidRPr="007B5D29">
        <w:rPr>
          <w:rFonts w:ascii="Bookman Old Style" w:eastAsia="Arial" w:hAnsi="Bookman Old Style" w:cs="Arial"/>
          <w:sz w:val="24"/>
          <w:szCs w:val="24"/>
        </w:rPr>
        <w:t>deve conter no mínimo 6 (seis) meses de validade</w:t>
      </w:r>
      <w:r>
        <w:rPr>
          <w:rFonts w:ascii="Bookman Old Style" w:eastAsia="Arial" w:hAnsi="Bookman Old Style" w:cs="Arial"/>
          <w:sz w:val="24"/>
          <w:szCs w:val="24"/>
        </w:rPr>
        <w:t xml:space="preserve"> a partir da data de entrega à Contratante</w:t>
      </w:r>
      <w:r w:rsidRPr="00C532EC">
        <w:rPr>
          <w:rFonts w:ascii="Bookman Old Style" w:eastAsia="Arial" w:hAnsi="Bookman Old Style" w:cs="Arial"/>
          <w:sz w:val="24"/>
          <w:szCs w:val="24"/>
        </w:rPr>
        <w:t xml:space="preserve">. </w:t>
      </w:r>
    </w:p>
    <w:p w:rsidR="00D76DE2" w:rsidRPr="00EF2FC9" w:rsidRDefault="00D76DE2" w:rsidP="00745CA4">
      <w:pPr>
        <w:numPr>
          <w:ilvl w:val="1"/>
          <w:numId w:val="9"/>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EF2FC9">
        <w:rPr>
          <w:rFonts w:ascii="Bookman Old Style" w:eastAsia="Arial" w:hAnsi="Bookman Old Style" w:cs="Arial"/>
          <w:sz w:val="24"/>
          <w:szCs w:val="24"/>
        </w:rPr>
        <w:t>Garantia.</w:t>
      </w:r>
    </w:p>
    <w:p w:rsidR="00D76DE2" w:rsidRDefault="00D76DE2" w:rsidP="00745CA4">
      <w:pPr>
        <w:numPr>
          <w:ilvl w:val="2"/>
          <w:numId w:val="9"/>
        </w:numPr>
        <w:pBdr>
          <w:top w:val="nil"/>
          <w:left w:val="nil"/>
          <w:bottom w:val="nil"/>
          <w:right w:val="nil"/>
          <w:between w:val="nil"/>
        </w:pBdr>
        <w:spacing w:after="0" w:line="240" w:lineRule="auto"/>
        <w:ind w:left="0" w:firstLine="0"/>
        <w:jc w:val="both"/>
        <w:rPr>
          <w:rFonts w:ascii="Bookman Old Style" w:eastAsia="Arial" w:hAnsi="Bookman Old Style" w:cs="Arial"/>
          <w:sz w:val="24"/>
          <w:szCs w:val="24"/>
        </w:rPr>
      </w:pPr>
      <w:r w:rsidRPr="00EF2FC9">
        <w:rPr>
          <w:rFonts w:ascii="Bookman Old Style" w:eastAsia="Arial" w:hAnsi="Bookman Old Style" w:cs="Arial"/>
          <w:sz w:val="24"/>
          <w:szCs w:val="24"/>
        </w:rPr>
        <w:t xml:space="preserve">Deverá conter garantia mínima de 80% de </w:t>
      </w:r>
      <w:r w:rsidRPr="007B5D29">
        <w:rPr>
          <w:rFonts w:ascii="Bookman Old Style" w:eastAsia="Arial" w:hAnsi="Bookman Old Style" w:cs="Arial"/>
          <w:sz w:val="24"/>
          <w:szCs w:val="24"/>
        </w:rPr>
        <w:t>germinação e</w:t>
      </w:r>
      <w:r w:rsidRPr="00EF2FC9">
        <w:rPr>
          <w:rFonts w:ascii="Bookman Old Style" w:eastAsia="Arial" w:hAnsi="Bookman Old Style" w:cs="Arial"/>
          <w:sz w:val="24"/>
          <w:szCs w:val="24"/>
        </w:rPr>
        <w:t xml:space="preserve"> no mínimo 90% de pureza.</w:t>
      </w:r>
    </w:p>
    <w:p w:rsidR="00D76DE2" w:rsidRPr="00C77E86" w:rsidRDefault="00D76DE2" w:rsidP="00745CA4">
      <w:pPr>
        <w:pBdr>
          <w:top w:val="nil"/>
          <w:left w:val="nil"/>
          <w:bottom w:val="nil"/>
          <w:right w:val="nil"/>
          <w:between w:val="nil"/>
        </w:pBdr>
        <w:spacing w:after="0" w:line="240" w:lineRule="auto"/>
        <w:jc w:val="both"/>
        <w:rPr>
          <w:rFonts w:ascii="Bookman Old Style" w:eastAsia="Arial" w:hAnsi="Bookman Old Style" w:cs="Arial"/>
          <w:sz w:val="24"/>
          <w:szCs w:val="24"/>
        </w:rPr>
      </w:pPr>
      <w:r>
        <w:rPr>
          <w:rFonts w:ascii="Bookman Old Style" w:eastAsia="Arial" w:hAnsi="Bookman Old Style" w:cs="Arial"/>
          <w:sz w:val="24"/>
          <w:szCs w:val="24"/>
        </w:rPr>
        <w:t>4.3.2.</w:t>
      </w:r>
      <w:r w:rsidRPr="00C77E86">
        <w:rPr>
          <w:rFonts w:ascii="Bookman Old Style" w:eastAsia="Arial" w:hAnsi="Bookman Old Style" w:cs="Arial"/>
          <w:sz w:val="24"/>
          <w:szCs w:val="24"/>
        </w:rPr>
        <w:t xml:space="preserve"> </w:t>
      </w:r>
      <w:r>
        <w:rPr>
          <w:rFonts w:ascii="Bookman Old Style" w:eastAsia="Arial" w:hAnsi="Bookman Old Style" w:cs="Arial"/>
          <w:sz w:val="24"/>
          <w:szCs w:val="24"/>
        </w:rPr>
        <w:t xml:space="preserve"> </w:t>
      </w:r>
      <w:r w:rsidRPr="00C77E86">
        <w:rPr>
          <w:rFonts w:ascii="Bookman Old Style" w:eastAsia="Arial" w:hAnsi="Bookman Old Style" w:cs="Arial"/>
          <w:sz w:val="24"/>
          <w:szCs w:val="24"/>
        </w:rPr>
        <w:t>Critérios referente aos itens do objeto:</w:t>
      </w:r>
    </w:p>
    <w:p w:rsidR="00D76DE2" w:rsidRPr="00C77E86" w:rsidRDefault="00D76DE2" w:rsidP="00745CA4">
      <w:pPr>
        <w:spacing w:after="0"/>
        <w:ind w:right="-15"/>
        <w:jc w:val="both"/>
        <w:rPr>
          <w:rFonts w:ascii="Bookman Old Style" w:hAnsi="Bookman Old Style" w:cs="Arial"/>
          <w:sz w:val="24"/>
          <w:szCs w:val="24"/>
        </w:rPr>
      </w:pPr>
      <w:r w:rsidRPr="00294816">
        <w:rPr>
          <w:rFonts w:ascii="Bookman Old Style" w:hAnsi="Bookman Old Style" w:cs="Arial"/>
          <w:sz w:val="24"/>
          <w:szCs w:val="24"/>
        </w:rPr>
        <w:t xml:space="preserve">a) As sementes </w:t>
      </w:r>
      <w:r>
        <w:rPr>
          <w:rFonts w:ascii="Bookman Old Style" w:hAnsi="Bookman Old Style" w:cs="Arial"/>
          <w:sz w:val="24"/>
          <w:szCs w:val="24"/>
        </w:rPr>
        <w:t>devem ser</w:t>
      </w:r>
      <w:r w:rsidRPr="00294816">
        <w:rPr>
          <w:rFonts w:ascii="Bookman Old Style" w:hAnsi="Bookman Old Style" w:cs="Arial"/>
          <w:sz w:val="24"/>
          <w:szCs w:val="24"/>
        </w:rPr>
        <w:t xml:space="preserve"> entregues</w:t>
      </w:r>
      <w:r>
        <w:rPr>
          <w:rFonts w:ascii="Bookman Old Style" w:hAnsi="Bookman Old Style" w:cs="Arial"/>
          <w:sz w:val="24"/>
          <w:szCs w:val="24"/>
        </w:rPr>
        <w:t xml:space="preserve"> no barracão da Secretaria de Agricultura, na rua </w:t>
      </w:r>
      <w:proofErr w:type="spellStart"/>
      <w:r>
        <w:rPr>
          <w:rFonts w:ascii="Bookman Old Style" w:hAnsi="Bookman Old Style" w:cs="Arial"/>
          <w:sz w:val="24"/>
          <w:szCs w:val="24"/>
        </w:rPr>
        <w:t>Angelo</w:t>
      </w:r>
      <w:proofErr w:type="spellEnd"/>
      <w:r>
        <w:rPr>
          <w:rFonts w:ascii="Bookman Old Style" w:hAnsi="Bookman Old Style" w:cs="Arial"/>
          <w:sz w:val="24"/>
          <w:szCs w:val="24"/>
        </w:rPr>
        <w:t xml:space="preserve"> Gabriel S/N, próximo à distribuidora Nilo </w:t>
      </w:r>
      <w:proofErr w:type="spellStart"/>
      <w:r>
        <w:rPr>
          <w:rFonts w:ascii="Bookman Old Style" w:hAnsi="Bookman Old Style" w:cs="Arial"/>
          <w:sz w:val="24"/>
          <w:szCs w:val="24"/>
        </w:rPr>
        <w:t>Tozzo</w:t>
      </w:r>
      <w:proofErr w:type="spellEnd"/>
      <w:r>
        <w:rPr>
          <w:rFonts w:ascii="Bookman Old Style" w:hAnsi="Bookman Old Style" w:cs="Arial"/>
          <w:sz w:val="24"/>
          <w:szCs w:val="24"/>
        </w:rPr>
        <w:t xml:space="preserve">, </w:t>
      </w:r>
      <w:r w:rsidRPr="00C1706E">
        <w:rPr>
          <w:rFonts w:ascii="Bookman Old Style" w:hAnsi="Bookman Old Style" w:cs="Arial"/>
          <w:sz w:val="24"/>
          <w:szCs w:val="24"/>
        </w:rPr>
        <w:t>conforme autorização emitida pela Secretaria de Agricultura, Indústria e Comércio;</w:t>
      </w:r>
      <w:r w:rsidRPr="00C77E86">
        <w:rPr>
          <w:rFonts w:ascii="Bookman Old Style" w:hAnsi="Bookman Old Style" w:cs="Arial"/>
          <w:sz w:val="24"/>
          <w:szCs w:val="24"/>
        </w:rPr>
        <w:t xml:space="preserve"> </w:t>
      </w:r>
    </w:p>
    <w:p w:rsidR="00D76DE2" w:rsidRPr="00C77E86" w:rsidRDefault="00D76DE2" w:rsidP="00745CA4">
      <w:pPr>
        <w:spacing w:after="0"/>
        <w:ind w:right="-15"/>
        <w:jc w:val="both"/>
        <w:rPr>
          <w:rFonts w:ascii="Bookman Old Style" w:hAnsi="Bookman Old Style" w:cs="Arial"/>
          <w:sz w:val="24"/>
          <w:szCs w:val="24"/>
        </w:rPr>
      </w:pPr>
      <w:r w:rsidRPr="008320D2">
        <w:rPr>
          <w:rFonts w:ascii="Bookman Old Style" w:hAnsi="Bookman Old Style" w:cs="Arial"/>
          <w:sz w:val="24"/>
          <w:szCs w:val="24"/>
        </w:rPr>
        <w:t>b) As sementes ofertadas devem ser selecionadas, de germinação de no mínimo 80% (oitenta por cento) ou mais, certificadas pelo MAPA (Ministério da Agricultura, Pecuária e Abastecimento), pureza mínima de 90% (noventa por cento), possuir identificação de lote e serem disponibilizadas em sacos em bom estado e lacrados;</w:t>
      </w:r>
    </w:p>
    <w:p w:rsidR="00D76DE2" w:rsidRPr="00C77E86" w:rsidRDefault="00D76DE2" w:rsidP="00745CA4">
      <w:pPr>
        <w:spacing w:after="0"/>
        <w:ind w:right="-15"/>
        <w:jc w:val="both"/>
        <w:rPr>
          <w:rFonts w:ascii="Bookman Old Style" w:hAnsi="Bookman Old Style" w:cs="Arial"/>
          <w:sz w:val="24"/>
          <w:szCs w:val="24"/>
        </w:rPr>
      </w:pPr>
      <w:r w:rsidRPr="00C77E86">
        <w:rPr>
          <w:rFonts w:ascii="Bookman Old Style" w:hAnsi="Bookman Old Style" w:cs="Arial"/>
          <w:sz w:val="24"/>
          <w:szCs w:val="24"/>
        </w:rPr>
        <w:t xml:space="preserve">c) Entregue as sementes no prazo máximo de 03 (três) dias úteis, após a realização da </w:t>
      </w:r>
      <w:r>
        <w:rPr>
          <w:rFonts w:ascii="Bookman Old Style" w:hAnsi="Bookman Old Style" w:cs="Arial"/>
          <w:sz w:val="24"/>
          <w:szCs w:val="24"/>
        </w:rPr>
        <w:t>solicitação de fornecimento</w:t>
      </w:r>
      <w:r w:rsidRPr="00C77E86">
        <w:rPr>
          <w:rFonts w:ascii="Bookman Old Style" w:hAnsi="Bookman Old Style" w:cs="Arial"/>
          <w:sz w:val="24"/>
          <w:szCs w:val="24"/>
        </w:rPr>
        <w:t>;</w:t>
      </w:r>
    </w:p>
    <w:p w:rsidR="00D76DE2" w:rsidRPr="00C77E86" w:rsidRDefault="00D76DE2" w:rsidP="00745CA4">
      <w:pPr>
        <w:spacing w:after="0"/>
        <w:ind w:right="-15"/>
        <w:jc w:val="both"/>
        <w:rPr>
          <w:rFonts w:ascii="Bookman Old Style" w:hAnsi="Bookman Old Style" w:cs="Arial"/>
          <w:sz w:val="24"/>
          <w:szCs w:val="24"/>
        </w:rPr>
      </w:pPr>
      <w:r>
        <w:rPr>
          <w:rFonts w:ascii="Bookman Old Style" w:hAnsi="Bookman Old Style" w:cs="Arial"/>
          <w:sz w:val="24"/>
          <w:szCs w:val="24"/>
        </w:rPr>
        <w:t>d</w:t>
      </w:r>
      <w:r w:rsidRPr="00C77E86">
        <w:rPr>
          <w:rFonts w:ascii="Bookman Old Style" w:hAnsi="Bookman Old Style" w:cs="Arial"/>
          <w:sz w:val="24"/>
          <w:szCs w:val="24"/>
        </w:rPr>
        <w:t>) O</w:t>
      </w:r>
      <w:r>
        <w:rPr>
          <w:rFonts w:ascii="Bookman Old Style" w:hAnsi="Bookman Old Style" w:cs="Arial"/>
          <w:sz w:val="24"/>
          <w:szCs w:val="24"/>
        </w:rPr>
        <w:t xml:space="preserve"> objeto deve ser entregue embalados em sacos adequados, de 20 kg (vinte quilos) ou 40 kg (quarenta quilos)</w:t>
      </w:r>
      <w:r w:rsidRPr="00C77E86">
        <w:rPr>
          <w:rFonts w:ascii="Bookman Old Style" w:hAnsi="Bookman Old Style" w:cs="Arial"/>
          <w:sz w:val="24"/>
          <w:szCs w:val="24"/>
        </w:rPr>
        <w:t xml:space="preserve"> </w:t>
      </w:r>
      <w:r>
        <w:rPr>
          <w:rFonts w:ascii="Bookman Old Style" w:hAnsi="Bookman Old Style" w:cs="Arial"/>
          <w:sz w:val="24"/>
          <w:szCs w:val="24"/>
        </w:rPr>
        <w:t>d</w:t>
      </w:r>
      <w:r w:rsidRPr="00C77E86">
        <w:rPr>
          <w:rFonts w:ascii="Bookman Old Style" w:hAnsi="Bookman Old Style" w:cs="Arial"/>
          <w:sz w:val="24"/>
          <w:szCs w:val="24"/>
        </w:rPr>
        <w:t>e acordo com a</w:t>
      </w:r>
      <w:r>
        <w:rPr>
          <w:rFonts w:ascii="Bookman Old Style" w:hAnsi="Bookman Old Style" w:cs="Arial"/>
          <w:sz w:val="24"/>
          <w:szCs w:val="24"/>
        </w:rPr>
        <w:t xml:space="preserve"> quantidade total da</w:t>
      </w:r>
      <w:r w:rsidRPr="00C77E86">
        <w:rPr>
          <w:rFonts w:ascii="Bookman Old Style" w:hAnsi="Bookman Old Style" w:cs="Arial"/>
          <w:sz w:val="24"/>
          <w:szCs w:val="24"/>
        </w:rPr>
        <w:t xml:space="preserve"> nota fiscal/empenho;</w:t>
      </w:r>
    </w:p>
    <w:p w:rsidR="00D76DE2" w:rsidRPr="0048093B" w:rsidRDefault="00D76DE2" w:rsidP="00D76DE2">
      <w:pPr>
        <w:spacing w:after="120"/>
        <w:ind w:right="-15"/>
        <w:jc w:val="both"/>
        <w:rPr>
          <w:rFonts w:ascii="Bookman Old Style" w:hAnsi="Bookman Old Style" w:cs="Arial"/>
          <w:sz w:val="24"/>
          <w:szCs w:val="24"/>
        </w:rPr>
      </w:pPr>
      <w:r>
        <w:rPr>
          <w:rFonts w:ascii="Bookman Old Style" w:hAnsi="Bookman Old Style" w:cs="Arial"/>
          <w:sz w:val="24"/>
          <w:szCs w:val="24"/>
        </w:rPr>
        <w:t>e</w:t>
      </w:r>
      <w:r w:rsidRPr="00C77E86">
        <w:rPr>
          <w:rFonts w:ascii="Bookman Old Style" w:hAnsi="Bookman Old Style" w:cs="Arial"/>
          <w:sz w:val="24"/>
          <w:szCs w:val="24"/>
        </w:rPr>
        <w:t>) Para os critérios de sustentabilidade devem ser considerados os produtos fornecidos em embalagens de materiais reutilizável, reciclável ou biodegradável, sempre que possível;</w:t>
      </w:r>
    </w:p>
    <w:p w:rsidR="00D76DE2" w:rsidRPr="005243B2" w:rsidRDefault="00D76DE2" w:rsidP="00D76DE2">
      <w:pPr>
        <w:pStyle w:val="SemEspaamento"/>
        <w:tabs>
          <w:tab w:val="left" w:pos="0"/>
        </w:tabs>
        <w:contextualSpacing/>
        <w:jc w:val="both"/>
        <w:rPr>
          <w:rFonts w:ascii="Bookman Old Style" w:hAnsi="Bookman Old Style"/>
          <w:szCs w:val="24"/>
        </w:rPr>
      </w:pPr>
    </w:p>
    <w:p w:rsidR="00D76DE2" w:rsidRPr="005243B2" w:rsidRDefault="00D76DE2" w:rsidP="00D76DE2">
      <w:pPr>
        <w:spacing w:after="120" w:line="240" w:lineRule="auto"/>
        <w:mirrorIndents/>
        <w:jc w:val="both"/>
        <w:rPr>
          <w:rFonts w:ascii="Bookman Old Style" w:hAnsi="Bookman Old Style"/>
          <w:b/>
          <w:sz w:val="24"/>
          <w:szCs w:val="24"/>
        </w:rPr>
      </w:pPr>
      <w:r w:rsidRPr="005243B2">
        <w:rPr>
          <w:rFonts w:ascii="Bookman Old Style" w:hAnsi="Bookman Old Style"/>
          <w:b/>
          <w:sz w:val="24"/>
          <w:szCs w:val="24"/>
        </w:rPr>
        <w:t xml:space="preserve">CLÁUSULA QUINTA - DAS CONDIÇÕES DE PAGAMENTO </w:t>
      </w:r>
    </w:p>
    <w:p w:rsidR="00D76DE2" w:rsidRDefault="00D76DE2" w:rsidP="00D76DE2">
      <w:pPr>
        <w:spacing w:after="120" w:line="240" w:lineRule="auto"/>
        <w:mirrorIndents/>
        <w:jc w:val="both"/>
        <w:rPr>
          <w:rFonts w:ascii="Bookman Old Style" w:hAnsi="Bookman Old Style"/>
          <w:sz w:val="24"/>
          <w:szCs w:val="24"/>
        </w:rPr>
      </w:pPr>
      <w:r w:rsidRPr="005243B2">
        <w:rPr>
          <w:rFonts w:ascii="Bookman Old Style" w:hAnsi="Bookman Old Style"/>
          <w:sz w:val="24"/>
          <w:szCs w:val="24"/>
        </w:rPr>
        <w:t>5.1. O pagamento será</w:t>
      </w:r>
      <w:r w:rsidRPr="00652DFB">
        <w:rPr>
          <w:rFonts w:ascii="Bookman Old Style" w:hAnsi="Bookman Old Style"/>
          <w:sz w:val="24"/>
          <w:szCs w:val="24"/>
        </w:rPr>
        <w:t xml:space="preserve"> realizado em até 30 (trinta) dias</w:t>
      </w:r>
      <w:r>
        <w:rPr>
          <w:rFonts w:ascii="Bookman Old Style" w:hAnsi="Bookman Old Style"/>
          <w:sz w:val="24"/>
          <w:szCs w:val="24"/>
        </w:rPr>
        <w:t xml:space="preserve"> d</w:t>
      </w:r>
      <w:r w:rsidRPr="00D021F5">
        <w:rPr>
          <w:rFonts w:ascii="Bookman Old Style" w:hAnsi="Bookman Old Style"/>
          <w:sz w:val="24"/>
          <w:szCs w:val="24"/>
        </w:rPr>
        <w:t xml:space="preserve">a </w:t>
      </w:r>
      <w:r>
        <w:rPr>
          <w:rFonts w:ascii="Bookman Old Style" w:hAnsi="Bookman Old Style"/>
          <w:sz w:val="24"/>
          <w:szCs w:val="24"/>
        </w:rPr>
        <w:t>entrega,</w:t>
      </w:r>
      <w:r w:rsidRPr="00D021F5">
        <w:rPr>
          <w:rFonts w:ascii="Bookman Old Style" w:hAnsi="Bookman Old Style"/>
          <w:sz w:val="24"/>
          <w:szCs w:val="24"/>
        </w:rPr>
        <w:t xml:space="preserve"> </w:t>
      </w:r>
      <w:r>
        <w:rPr>
          <w:rFonts w:ascii="Bookman Old Style" w:hAnsi="Bookman Old Style"/>
          <w:sz w:val="24"/>
          <w:szCs w:val="24"/>
        </w:rPr>
        <w:t xml:space="preserve">mediante a </w:t>
      </w:r>
      <w:r w:rsidRPr="00D021F5">
        <w:rPr>
          <w:rFonts w:ascii="Bookman Old Style" w:hAnsi="Bookman Old Style"/>
          <w:sz w:val="24"/>
          <w:szCs w:val="24"/>
        </w:rPr>
        <w:t>apresentação d</w:t>
      </w:r>
      <w:r>
        <w:rPr>
          <w:rFonts w:ascii="Bookman Old Style" w:hAnsi="Bookman Old Style"/>
          <w:sz w:val="24"/>
          <w:szCs w:val="24"/>
        </w:rPr>
        <w:t xml:space="preserve">as respectivas </w:t>
      </w:r>
      <w:r w:rsidRPr="00D021F5">
        <w:rPr>
          <w:rFonts w:ascii="Bookman Old Style" w:hAnsi="Bookman Old Style"/>
          <w:sz w:val="24"/>
          <w:szCs w:val="24"/>
        </w:rPr>
        <w:t xml:space="preserve">notas fiscais, </w:t>
      </w:r>
      <w:r>
        <w:rPr>
          <w:rFonts w:ascii="Bookman Old Style" w:hAnsi="Bookman Old Style"/>
          <w:sz w:val="24"/>
          <w:szCs w:val="24"/>
        </w:rPr>
        <w:t xml:space="preserve">as quais deverão estar </w:t>
      </w:r>
      <w:r w:rsidRPr="00D021F5">
        <w:rPr>
          <w:rFonts w:ascii="Bookman Old Style" w:hAnsi="Bookman Old Style"/>
          <w:sz w:val="24"/>
          <w:szCs w:val="24"/>
        </w:rPr>
        <w:t xml:space="preserve">assinadas pelo Fiscal de Contrato ou responsável pelo evento; </w:t>
      </w:r>
    </w:p>
    <w:p w:rsidR="00D76DE2" w:rsidRPr="005243B2" w:rsidRDefault="00D76DE2" w:rsidP="00D76DE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w:t>
      </w:r>
      <w:r w:rsidRPr="005243B2">
        <w:rPr>
          <w:rFonts w:ascii="Bookman Old Style" w:hAnsi="Bookman Old Style"/>
          <w:sz w:val="24"/>
          <w:szCs w:val="24"/>
        </w:rPr>
        <w:t xml:space="preserve">contidas na </w:t>
      </w:r>
      <w:proofErr w:type="spellStart"/>
      <w:r w:rsidRPr="005243B2">
        <w:rPr>
          <w:rFonts w:ascii="Bookman Old Style" w:hAnsi="Bookman Old Style"/>
          <w:sz w:val="24"/>
          <w:szCs w:val="24"/>
        </w:rPr>
        <w:t>AF</w:t>
      </w:r>
      <w:proofErr w:type="spellEnd"/>
      <w:r w:rsidRPr="005243B2">
        <w:rPr>
          <w:rFonts w:ascii="Bookman Old Style" w:hAnsi="Bookman Old Style"/>
          <w:sz w:val="24"/>
          <w:szCs w:val="24"/>
        </w:rPr>
        <w:t xml:space="preserve"> emitida pelo Munícipio. </w:t>
      </w:r>
    </w:p>
    <w:p w:rsidR="00D76DE2" w:rsidRPr="003F5C6E" w:rsidRDefault="00D76DE2" w:rsidP="00D76DE2">
      <w:pPr>
        <w:spacing w:after="120" w:line="240" w:lineRule="auto"/>
        <w:mirrorIndents/>
        <w:jc w:val="both"/>
        <w:rPr>
          <w:rFonts w:ascii="Bookman Old Style" w:hAnsi="Bookman Old Style"/>
          <w:sz w:val="24"/>
          <w:szCs w:val="24"/>
        </w:rPr>
      </w:pPr>
      <w:r w:rsidRPr="0054024F">
        <w:rPr>
          <w:rFonts w:ascii="Bookman Old Style" w:hAnsi="Bookman Old Style"/>
          <w:sz w:val="24"/>
          <w:szCs w:val="24"/>
        </w:rPr>
        <w:t>5.3. As despesas decorrentes da execução deste objeto correrão a cargo da seguinte dotação: (Projeto Atividade 2.009 – Elemento 3.3.90 – Despesa 63, previstas na Lei Orçamentária do Exercício de 2024.)</w:t>
      </w:r>
    </w:p>
    <w:p w:rsidR="00D76DE2" w:rsidRPr="006A6721" w:rsidRDefault="00D76DE2" w:rsidP="00D76DE2">
      <w:pPr>
        <w:spacing w:after="0" w:line="240" w:lineRule="auto"/>
        <w:mirrorIndents/>
        <w:jc w:val="both"/>
        <w:rPr>
          <w:rFonts w:ascii="Bookman Old Style" w:hAnsi="Bookman Old Style"/>
          <w:sz w:val="24"/>
          <w:szCs w:val="24"/>
        </w:rPr>
      </w:pPr>
    </w:p>
    <w:p w:rsidR="00D76DE2" w:rsidRPr="00546A8B" w:rsidRDefault="00D76DE2" w:rsidP="00D76DE2">
      <w:pPr>
        <w:spacing w:after="120" w:line="240" w:lineRule="auto"/>
        <w:mirrorIndents/>
        <w:jc w:val="both"/>
        <w:rPr>
          <w:rFonts w:ascii="Bookman Old Style" w:hAnsi="Bookman Old Style"/>
          <w:b/>
          <w:bCs/>
          <w:sz w:val="24"/>
          <w:szCs w:val="24"/>
        </w:rPr>
      </w:pPr>
      <w:r w:rsidRPr="006A6721">
        <w:rPr>
          <w:rFonts w:ascii="Bookman Old Style" w:hAnsi="Bookman Old Style"/>
          <w:b/>
          <w:sz w:val="24"/>
          <w:szCs w:val="24"/>
        </w:rPr>
        <w:t xml:space="preserve">CLÁUSULA SEXTA - DA </w:t>
      </w:r>
      <w:r w:rsidRPr="00546A8B">
        <w:rPr>
          <w:rFonts w:ascii="Bookman Old Style" w:hAnsi="Bookman Old Style"/>
          <w:b/>
          <w:bCs/>
          <w:sz w:val="24"/>
          <w:szCs w:val="24"/>
        </w:rPr>
        <w:t>SUBCONTRATAÇ</w:t>
      </w:r>
      <w:r>
        <w:rPr>
          <w:rFonts w:ascii="Bookman Old Style" w:hAnsi="Bookman Old Style"/>
          <w:b/>
          <w:bCs/>
          <w:sz w:val="24"/>
          <w:szCs w:val="24"/>
        </w:rPr>
        <w:t>Ã</w:t>
      </w:r>
      <w:r w:rsidRPr="00546A8B">
        <w:rPr>
          <w:rFonts w:ascii="Bookman Old Style" w:hAnsi="Bookman Old Style"/>
          <w:b/>
          <w:bCs/>
          <w:sz w:val="24"/>
          <w:szCs w:val="24"/>
        </w:rPr>
        <w:t>O</w:t>
      </w:r>
    </w:p>
    <w:p w:rsidR="00D76DE2" w:rsidRPr="00052572" w:rsidRDefault="00D76DE2" w:rsidP="00D76DE2">
      <w:pPr>
        <w:pStyle w:val="PargrafodaLista"/>
        <w:tabs>
          <w:tab w:val="left" w:pos="0"/>
          <w:tab w:val="left" w:pos="426"/>
        </w:tabs>
        <w:spacing w:after="120" w:line="240" w:lineRule="auto"/>
        <w:ind w:left="0"/>
        <w:mirrorIndents/>
        <w:jc w:val="both"/>
        <w:rPr>
          <w:rFonts w:ascii="Bookman Old Style" w:hAnsi="Bookman Old Style" w:cs="Miriam Fixed"/>
          <w:sz w:val="24"/>
          <w:szCs w:val="24"/>
        </w:rPr>
      </w:pPr>
      <w:r w:rsidRPr="005B23E0">
        <w:rPr>
          <w:rFonts w:ascii="Bookman Old Style" w:hAnsi="Bookman Old Style"/>
          <w:sz w:val="24"/>
          <w:szCs w:val="24"/>
        </w:rPr>
        <w:t xml:space="preserve">6.1. </w:t>
      </w:r>
      <w:r w:rsidRPr="000D524A">
        <w:rPr>
          <w:rFonts w:ascii="Bookman Old Style" w:hAnsi="Bookman Old Style" w:cs="Miriam Fixed"/>
          <w:sz w:val="24"/>
          <w:szCs w:val="24"/>
        </w:rPr>
        <w:t xml:space="preserve">- </w:t>
      </w:r>
      <w:r w:rsidRPr="00546A8B">
        <w:rPr>
          <w:rFonts w:ascii="Bookman Old Style" w:hAnsi="Bookman Old Style"/>
          <w:bCs/>
          <w:sz w:val="24"/>
          <w:szCs w:val="24"/>
        </w:rPr>
        <w:t xml:space="preserve"> </w:t>
      </w:r>
      <w:r w:rsidRPr="00780165">
        <w:rPr>
          <w:rFonts w:ascii="Bookman Old Style" w:hAnsi="Bookman Old Style"/>
          <w:bCs/>
          <w:sz w:val="24"/>
          <w:szCs w:val="24"/>
        </w:rPr>
        <w:t>É vedada a subcontratação ou transferência total ou parcial do objeto da licitação</w:t>
      </w:r>
      <w:r w:rsidRPr="00546A8B">
        <w:rPr>
          <w:rFonts w:ascii="Bookman Old Style" w:hAnsi="Bookman Old Style"/>
          <w:bCs/>
          <w:sz w:val="24"/>
          <w:szCs w:val="24"/>
        </w:rPr>
        <w:t>.</w:t>
      </w:r>
    </w:p>
    <w:p w:rsidR="00D76DE2" w:rsidRPr="007803F5" w:rsidRDefault="00D76DE2" w:rsidP="00D76DE2">
      <w:pPr>
        <w:pStyle w:val="PargrafodaLista"/>
        <w:tabs>
          <w:tab w:val="left" w:pos="426"/>
          <w:tab w:val="left" w:pos="709"/>
        </w:tabs>
        <w:spacing w:after="120" w:line="240" w:lineRule="auto"/>
        <w:ind w:left="0"/>
        <w:mirrorIndents/>
        <w:jc w:val="both"/>
        <w:rPr>
          <w:rFonts w:ascii="Bookman Old Style" w:hAnsi="Bookman Old Style"/>
          <w:b/>
          <w:sz w:val="24"/>
          <w:szCs w:val="24"/>
        </w:rPr>
      </w:pPr>
    </w:p>
    <w:p w:rsidR="00D76DE2"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rsidR="00D76DE2" w:rsidRPr="001A39BD" w:rsidRDefault="00D76DE2" w:rsidP="00745CA4">
      <w:pPr>
        <w:spacing w:after="0" w:line="240" w:lineRule="auto"/>
        <w:mirrorIndents/>
        <w:jc w:val="both"/>
        <w:rPr>
          <w:rFonts w:ascii="Bookman Old Style" w:hAnsi="Bookman Old Style"/>
          <w:sz w:val="24"/>
          <w:szCs w:val="24"/>
        </w:rPr>
      </w:pPr>
      <w:r w:rsidRPr="001A39BD">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rsidR="00D76DE2" w:rsidRPr="001A39BD" w:rsidRDefault="00D76DE2" w:rsidP="00745CA4">
      <w:pPr>
        <w:spacing w:after="0" w:line="240" w:lineRule="auto"/>
        <w:mirrorIndents/>
        <w:jc w:val="both"/>
        <w:rPr>
          <w:rFonts w:ascii="Bookman Old Style" w:hAnsi="Bookman Old Style"/>
          <w:sz w:val="24"/>
          <w:szCs w:val="24"/>
        </w:rPr>
      </w:pPr>
      <w:r w:rsidRPr="001A39BD">
        <w:rPr>
          <w:rFonts w:ascii="Bookman Old Style" w:hAnsi="Bookman Old Style"/>
          <w:sz w:val="24"/>
          <w:szCs w:val="24"/>
        </w:rPr>
        <w:t xml:space="preserve">7.1.1. Ainda incorrerá no art. 156, inciso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da lei 14.133/2021 quando da necessidade de extinção contratual.</w:t>
      </w:r>
    </w:p>
    <w:p w:rsidR="00D76DE2" w:rsidRPr="001A39BD" w:rsidRDefault="00D76DE2" w:rsidP="00745CA4">
      <w:pPr>
        <w:spacing w:after="0" w:line="240" w:lineRule="auto"/>
        <w:mirrorIndents/>
        <w:jc w:val="both"/>
        <w:rPr>
          <w:rFonts w:ascii="Bookman Old Style" w:hAnsi="Bookman Old Style"/>
          <w:sz w:val="24"/>
          <w:szCs w:val="24"/>
        </w:rPr>
      </w:pPr>
      <w:r w:rsidRPr="001A39BD">
        <w:rPr>
          <w:rFonts w:ascii="Bookman Old Style" w:hAnsi="Bookman Old Style"/>
          <w:sz w:val="24"/>
          <w:szCs w:val="24"/>
        </w:rPr>
        <w:t xml:space="preserve">7.2. A rescisão contratual poderá ser:  </w:t>
      </w:r>
    </w:p>
    <w:p w:rsidR="00D76DE2" w:rsidRPr="001A39BD" w:rsidRDefault="00D76DE2" w:rsidP="00745CA4">
      <w:pPr>
        <w:spacing w:after="0" w:line="240" w:lineRule="auto"/>
        <w:mirrorIndents/>
        <w:jc w:val="both"/>
        <w:rPr>
          <w:rFonts w:ascii="Bookman Old Style" w:hAnsi="Bookman Old Style"/>
          <w:sz w:val="24"/>
          <w:szCs w:val="24"/>
        </w:rPr>
      </w:pPr>
      <w:r w:rsidRPr="001A39BD">
        <w:rPr>
          <w:rFonts w:ascii="Bookman Old Style" w:hAnsi="Bookman Old Style"/>
          <w:sz w:val="24"/>
          <w:szCs w:val="24"/>
        </w:rPr>
        <w:t xml:space="preserve">7.2.1. Determinada por ato unilateral da Administração, nos casos enunciados nos incisos I a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e </w:t>
      </w:r>
      <w:proofErr w:type="spellStart"/>
      <w:r w:rsidRPr="001A39BD">
        <w:rPr>
          <w:rFonts w:ascii="Bookman Old Style" w:hAnsi="Bookman Old Style"/>
          <w:sz w:val="24"/>
          <w:szCs w:val="24"/>
        </w:rPr>
        <w:t>IX</w:t>
      </w:r>
      <w:proofErr w:type="spellEnd"/>
      <w:r w:rsidRPr="001A39BD">
        <w:rPr>
          <w:rFonts w:ascii="Bookman Old Style" w:hAnsi="Bookman Old Style"/>
          <w:sz w:val="24"/>
          <w:szCs w:val="24"/>
        </w:rPr>
        <w:t xml:space="preserve"> do artigo 137 da Lei Federal nº 14.133/2021;  </w:t>
      </w:r>
    </w:p>
    <w:p w:rsidR="00D76DE2" w:rsidRPr="001A39BD" w:rsidRDefault="00D76DE2" w:rsidP="00745CA4">
      <w:pPr>
        <w:spacing w:after="0" w:line="240" w:lineRule="auto"/>
        <w:mirrorIndents/>
        <w:jc w:val="both"/>
        <w:rPr>
          <w:rFonts w:ascii="Bookman Old Style" w:hAnsi="Bookman Old Style"/>
          <w:sz w:val="24"/>
          <w:szCs w:val="24"/>
        </w:rPr>
      </w:pPr>
      <w:r w:rsidRPr="001A39BD">
        <w:rPr>
          <w:rFonts w:ascii="Bookman Old Style" w:hAnsi="Bookman Old Style"/>
          <w:sz w:val="24"/>
          <w:szCs w:val="24"/>
        </w:rPr>
        <w:t>7.2.2. Amigável, mediante autorização da autoridade competente, reduzida a termo no processo de licitação, desde que demonstrada conveniência para a Administração.</w:t>
      </w:r>
    </w:p>
    <w:p w:rsidR="00D76DE2" w:rsidRPr="006A6721" w:rsidRDefault="00D76DE2" w:rsidP="00745CA4">
      <w:pPr>
        <w:spacing w:after="0" w:line="240" w:lineRule="auto"/>
        <w:mirrorIndents/>
        <w:jc w:val="both"/>
        <w:rPr>
          <w:rFonts w:ascii="Bookman Old Style" w:hAnsi="Bookman Old Style"/>
          <w:sz w:val="24"/>
          <w:szCs w:val="24"/>
        </w:rPr>
      </w:pPr>
      <w:r w:rsidRPr="001A39BD">
        <w:rPr>
          <w:rFonts w:ascii="Bookman Old Style" w:hAnsi="Bookman Old Style"/>
          <w:sz w:val="24"/>
          <w:szCs w:val="24"/>
        </w:rPr>
        <w:t>7.3. O contrato poderá ser extinto antes de cumpridas as obrigações nele estipuladas, ou antes do prazo nele fixado, por algum dos motivos previstos no artigo 137 da Lei nº 14.133/21, bem como amigavelmente, assegurados o contraditório e a ampla defesa.</w:t>
      </w:r>
      <w:r w:rsidRPr="006A6721">
        <w:rPr>
          <w:rFonts w:ascii="Bookman Old Style" w:hAnsi="Bookman Old Style"/>
          <w:sz w:val="24"/>
          <w:szCs w:val="24"/>
        </w:rPr>
        <w:t xml:space="preserve">   </w:t>
      </w:r>
    </w:p>
    <w:p w:rsidR="00D76DE2" w:rsidRPr="006A6721" w:rsidRDefault="00D76DE2" w:rsidP="00D76DE2">
      <w:pPr>
        <w:spacing w:after="120" w:line="240" w:lineRule="auto"/>
        <w:mirrorIndents/>
        <w:jc w:val="both"/>
        <w:rPr>
          <w:rFonts w:ascii="Bookman Old Style" w:hAnsi="Bookman Old Style"/>
          <w:sz w:val="24"/>
          <w:szCs w:val="24"/>
        </w:rPr>
      </w:pPr>
    </w:p>
    <w:p w:rsidR="00D76DE2"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D76DE2" w:rsidRPr="00F26238" w:rsidRDefault="00D76DE2" w:rsidP="00582E0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rsidR="00D76DE2" w:rsidRPr="00F26238" w:rsidRDefault="00D76DE2" w:rsidP="00582E06">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 xml:space="preserve">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rsidR="00D76DE2" w:rsidRPr="00F26238" w:rsidRDefault="00D76DE2" w:rsidP="00582E06">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 xml:space="preserve">II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rsidR="00D76DE2" w:rsidRDefault="00D76DE2" w:rsidP="00582E06">
      <w:pPr>
        <w:spacing w:after="0" w:line="240" w:lineRule="auto"/>
        <w:mirrorIndents/>
        <w:jc w:val="both"/>
        <w:rPr>
          <w:rFonts w:ascii="Bookman Old Style" w:hAnsi="Bookman Old Style"/>
          <w:sz w:val="24"/>
          <w:szCs w:val="24"/>
        </w:rPr>
      </w:pPr>
      <w:proofErr w:type="spellStart"/>
      <w:r w:rsidRPr="00F26238">
        <w:rPr>
          <w:rFonts w:ascii="Bookman Old Style" w:hAnsi="Bookman Old Style"/>
          <w:sz w:val="24"/>
          <w:szCs w:val="24"/>
        </w:rPr>
        <w:t>III</w:t>
      </w:r>
      <w:proofErr w:type="spellEnd"/>
      <w:r w:rsidRPr="00F26238">
        <w:rPr>
          <w:rFonts w:ascii="Bookman Old Style" w:hAnsi="Bookman Old Style"/>
          <w:sz w:val="24"/>
          <w:szCs w:val="24"/>
        </w:rPr>
        <w:t xml:space="preserve"> - na hipótese de previsão no edital ou no aviso de contratação direta de cláusula de reajustamento ou repactuação sobre os preços registrados</w:t>
      </w:r>
      <w:r>
        <w:rPr>
          <w:rFonts w:ascii="Bookman Old Style" w:hAnsi="Bookman Old Style"/>
          <w:sz w:val="24"/>
          <w:szCs w:val="24"/>
        </w:rPr>
        <w:t>.</w:t>
      </w:r>
    </w:p>
    <w:p w:rsidR="00D76DE2" w:rsidRPr="006A6721" w:rsidRDefault="00D76DE2" w:rsidP="00745CA4">
      <w:pPr>
        <w:spacing w:after="0" w:line="240" w:lineRule="auto"/>
        <w:mirrorIndents/>
        <w:jc w:val="both"/>
        <w:rPr>
          <w:rFonts w:ascii="Bookman Old Style" w:hAnsi="Bookman Old Style"/>
          <w:sz w:val="24"/>
          <w:szCs w:val="24"/>
        </w:rPr>
      </w:pPr>
    </w:p>
    <w:p w:rsidR="00D76DE2"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Responsabilizar-se pelos vícios e danos decorrentes do objeto, de acordo com o Código de Defesa do Consumidor (Lei n.º 8.078, de 1990);</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Comunicar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no prazo máximo de </w:t>
      </w:r>
      <w:r>
        <w:rPr>
          <w:rFonts w:ascii="Bookman Old Style" w:eastAsia="Arial" w:hAnsi="Bookman Old Style" w:cs="Arial"/>
          <w:color w:val="000000"/>
          <w:sz w:val="24"/>
          <w:szCs w:val="24"/>
        </w:rPr>
        <w:t>24</w:t>
      </w:r>
      <w:r w:rsidRPr="009459C1">
        <w:rPr>
          <w:rFonts w:ascii="Bookman Old Style" w:eastAsia="Arial" w:hAnsi="Bookman Old Style" w:cs="Arial"/>
          <w:color w:val="000000"/>
          <w:sz w:val="24"/>
          <w:szCs w:val="24"/>
        </w:rPr>
        <w:t xml:space="preserve"> horas que antecede a data da entrega, os motivos que impossibilitem o cumprimento do prazo previsto, com a devida comprovação;</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9459C1">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9459C1">
        <w:rPr>
          <w:rFonts w:ascii="Bookman Old Style" w:eastAsia="Arial" w:hAnsi="Bookman Old Style" w:cs="Arial"/>
          <w:color w:val="000000"/>
          <w:sz w:val="24"/>
          <w:szCs w:val="24"/>
        </w:rPr>
        <w:t>SICAF</w:t>
      </w:r>
      <w:proofErr w:type="spellEnd"/>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D76DE2" w:rsidRPr="009459C1" w:rsidRDefault="00D76DE2" w:rsidP="00D76DE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1) Prova de regularidade relativa à Seguridade Social; </w:t>
      </w:r>
    </w:p>
    <w:p w:rsidR="00D76DE2" w:rsidRPr="009459C1" w:rsidRDefault="00D76DE2" w:rsidP="00D76DE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2) Certidão conjunta relativa aos tributos federais e à Dívida Ativa da União; </w:t>
      </w:r>
    </w:p>
    <w:p w:rsidR="00D76DE2" w:rsidRPr="009459C1" w:rsidRDefault="00D76DE2" w:rsidP="00D76DE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3) Certidões que comprovem a regularidade perante a Fazenda Estadual ou Distrital do domicílio ou sede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w:t>
      </w:r>
    </w:p>
    <w:p w:rsidR="00D76DE2" w:rsidRPr="009459C1" w:rsidRDefault="00D76DE2" w:rsidP="00D76DE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4) Certidão de Regularidade do FGTS – CRF; e </w:t>
      </w:r>
    </w:p>
    <w:p w:rsidR="00D76DE2" w:rsidRPr="009459C1" w:rsidRDefault="00D76DE2" w:rsidP="00D76DE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5) Certidão Negativa de Débitos Trabalhistas – </w:t>
      </w:r>
      <w:proofErr w:type="spellStart"/>
      <w:r w:rsidRPr="009459C1">
        <w:rPr>
          <w:rFonts w:ascii="Bookman Old Style" w:eastAsia="Arial" w:hAnsi="Bookman Old Style" w:cs="Arial"/>
          <w:color w:val="000000"/>
          <w:sz w:val="24"/>
          <w:szCs w:val="24"/>
        </w:rPr>
        <w:t>CNDT</w:t>
      </w:r>
      <w:proofErr w:type="spellEnd"/>
      <w:r w:rsidRPr="009459C1">
        <w:rPr>
          <w:rFonts w:ascii="Bookman Old Style" w:eastAsia="Arial" w:hAnsi="Bookman Old Style" w:cs="Arial"/>
          <w:color w:val="000000"/>
          <w:sz w:val="24"/>
          <w:szCs w:val="24"/>
        </w:rPr>
        <w:t>.</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9459C1">
        <w:rPr>
          <w:rFonts w:ascii="Bookman Old Style" w:eastAsia="Arial" w:hAnsi="Bookman Old Style" w:cs="Arial"/>
          <w:bCs/>
          <w:color w:val="000000"/>
          <w:sz w:val="24"/>
          <w:szCs w:val="24"/>
        </w:rPr>
        <w:t>CONTRATANTE e não poderá onerar o objeto do contrato;</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Paralisar, por determinação do CONTRATANTE, qualquer atividade que não esteja sendo executada de acordo com a boa</w:t>
      </w:r>
      <w:r w:rsidRPr="009459C1">
        <w:rPr>
          <w:rFonts w:ascii="Bookman Old Style" w:eastAsia="Arial" w:hAnsi="Bookman Old Style" w:cs="Arial"/>
          <w:color w:val="000000"/>
          <w:sz w:val="24"/>
          <w:szCs w:val="24"/>
        </w:rPr>
        <w:t xml:space="preserve"> técnica ou que ponha em risco a segurança de pessoas ou bens de terceiros;</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Comprovar a reserva de cargos a que se refere à cláusula acima, no prazo fixado pelo fiscal do contrato, com a indicação dos empregados que preencheram as referidas vagas (Art. 116, parágrafo único, da Lei n.º 14.133/2021);</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Guardar sigilo sobre todas as informações obtidas em decorrência do cumprimento do contrato; </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D76DE2" w:rsidRPr="009459C1" w:rsidRDefault="00D76DE2" w:rsidP="00D76DE2">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9459C1">
        <w:rPr>
          <w:rFonts w:ascii="Bookman Old Style" w:eastAsia="Arial" w:hAnsi="Bookman Old Style" w:cs="Arial"/>
          <w:bCs/>
          <w:color w:val="000000"/>
          <w:sz w:val="24"/>
          <w:szCs w:val="24"/>
        </w:rPr>
        <w:t>CONTRATANTE;</w:t>
      </w:r>
    </w:p>
    <w:p w:rsidR="00D76DE2" w:rsidRPr="009459C1" w:rsidRDefault="00D76DE2" w:rsidP="00D76DE2">
      <w:pPr>
        <w:spacing w:before="120" w:after="120" w:line="269" w:lineRule="auto"/>
        <w:contextualSpacing/>
        <w:mirrorIndents/>
        <w:jc w:val="both"/>
        <w:rPr>
          <w:rFonts w:ascii="Bookman Old Style" w:hAnsi="Bookman Old Style" w:cs="Arial"/>
          <w:b/>
          <w:color w:val="000000"/>
          <w:sz w:val="24"/>
          <w:szCs w:val="24"/>
        </w:rPr>
      </w:pPr>
      <w:r>
        <w:rPr>
          <w:rFonts w:ascii="Bookman Old Style" w:hAnsi="Bookman Old Style" w:cs="Arial"/>
          <w:sz w:val="24"/>
          <w:szCs w:val="24"/>
        </w:rPr>
        <w:t xml:space="preserve">9.17. </w:t>
      </w:r>
      <w:r w:rsidRPr="009459C1">
        <w:rPr>
          <w:rFonts w:ascii="Bookman Old Style" w:hAnsi="Bookman Old Style" w:cs="Arial"/>
          <w:sz w:val="24"/>
          <w:szCs w:val="24"/>
        </w:rPr>
        <w:t>A Contratada deve cumprir todas as obrigações constantes no Edital, seus anexos e sua proposta, assumindo como exclusivamente seus os riscos e as despesas decorrentes da boa e perfeita execução do objeto e, ainda:</w:t>
      </w:r>
    </w:p>
    <w:p w:rsidR="00D76DE2" w:rsidRPr="009459C1" w:rsidRDefault="00D76DE2" w:rsidP="00D76DE2">
      <w:pPr>
        <w:spacing w:before="120" w:after="120" w:line="269" w:lineRule="auto"/>
        <w:contextualSpacing/>
        <w:mirrorIndents/>
        <w:jc w:val="both"/>
        <w:rPr>
          <w:rFonts w:ascii="Bookman Old Style" w:hAnsi="Bookman Old Style" w:cs="Arial"/>
          <w:i/>
          <w:sz w:val="24"/>
          <w:szCs w:val="24"/>
        </w:rPr>
      </w:pPr>
      <w:r>
        <w:rPr>
          <w:rFonts w:ascii="Bookman Old Style" w:hAnsi="Bookman Old Style" w:cs="Arial"/>
          <w:sz w:val="24"/>
          <w:szCs w:val="24"/>
        </w:rPr>
        <w:t xml:space="preserve">9.18. </w:t>
      </w:r>
      <w:r w:rsidRPr="009459C1">
        <w:rPr>
          <w:rFonts w:ascii="Bookman Old Style" w:hAnsi="Bookman Old Style" w:cs="Arial"/>
          <w:sz w:val="24"/>
          <w:szCs w:val="24"/>
        </w:rPr>
        <w:t xml:space="preserve">Efetuar a entrega do objeto em perfeitas condições, conforme especificações, prazo e local constantes no Edital e seus anexos, acompanhado da respectiva nota fiscal, na qual constarão as indicações referentes a: </w:t>
      </w:r>
      <w:r w:rsidRPr="009459C1">
        <w:rPr>
          <w:rFonts w:ascii="Bookman Old Style" w:hAnsi="Bookman Old Style" w:cs="Arial"/>
          <w:i/>
          <w:sz w:val="24"/>
          <w:szCs w:val="24"/>
        </w:rPr>
        <w:t>marca, fabricante, modelo, procedência e prazo de garantia ou validade;</w:t>
      </w:r>
    </w:p>
    <w:p w:rsidR="00D76DE2" w:rsidRPr="009459C1" w:rsidRDefault="00D76DE2" w:rsidP="00D76DE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9.19. </w:t>
      </w:r>
      <w:r w:rsidRPr="009459C1">
        <w:rPr>
          <w:rFonts w:ascii="Bookman Old Style" w:hAnsi="Bookman Old Style" w:cs="Arial"/>
          <w:sz w:val="24"/>
          <w:szCs w:val="24"/>
        </w:rPr>
        <w:t>Responsabilizar-se pelos vícios e danos decorrentes do objeto, de acordo com os artigos 12, 13 e 17 a 27, do Código de Defesa do Consumidor (Lei nº 8.078, de 1990);</w:t>
      </w:r>
    </w:p>
    <w:p w:rsidR="00D76DE2" w:rsidRPr="009459C1" w:rsidRDefault="00D76DE2" w:rsidP="00D76DE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9.20. </w:t>
      </w:r>
      <w:r w:rsidRPr="009459C1">
        <w:rPr>
          <w:rFonts w:ascii="Bookman Old Style" w:hAnsi="Bookman Old Style" w:cs="Arial"/>
          <w:sz w:val="24"/>
          <w:szCs w:val="24"/>
        </w:rPr>
        <w:t xml:space="preserve">Substituir, reparar ou corrigir, às suas expensas, no prazo fixado neste </w:t>
      </w:r>
      <w:r>
        <w:rPr>
          <w:rFonts w:ascii="Bookman Old Style" w:hAnsi="Bookman Old Style" w:cs="Arial"/>
          <w:sz w:val="24"/>
          <w:szCs w:val="24"/>
        </w:rPr>
        <w:t xml:space="preserve">9.21. </w:t>
      </w:r>
      <w:r w:rsidRPr="009459C1">
        <w:rPr>
          <w:rFonts w:ascii="Bookman Old Style" w:hAnsi="Bookman Old Style" w:cs="Arial"/>
          <w:sz w:val="24"/>
          <w:szCs w:val="24"/>
        </w:rPr>
        <w:t>Termo de Referência, o objeto com avarias ou defeitos;</w:t>
      </w:r>
    </w:p>
    <w:p w:rsidR="00D76DE2" w:rsidRPr="009459C1" w:rsidRDefault="00D76DE2" w:rsidP="00D76DE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9.22. </w:t>
      </w:r>
      <w:r w:rsidRPr="009459C1">
        <w:rPr>
          <w:rFonts w:ascii="Bookman Old Style" w:hAnsi="Bookman Old Style" w:cs="Arial"/>
          <w:sz w:val="24"/>
          <w:szCs w:val="24"/>
        </w:rPr>
        <w:t>Comunicar à Contratante, no prazo mínimo de 24 horas que antecede a data da entrega, os motivos que impossibilitem o cumprimento do prazo previsto, com a devida comprovação;</w:t>
      </w:r>
    </w:p>
    <w:p w:rsidR="00D76DE2" w:rsidRPr="009459C1" w:rsidRDefault="00D76DE2" w:rsidP="00D76DE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9.23. </w:t>
      </w:r>
      <w:r w:rsidRPr="009459C1">
        <w:rPr>
          <w:rFonts w:ascii="Bookman Old Style" w:hAnsi="Bookman Old Style" w:cs="Arial"/>
          <w:sz w:val="24"/>
          <w:szCs w:val="24"/>
        </w:rPr>
        <w:t>Manter, durante toda a execução do contrato, em compatibilidade com as obrigações assumidas, todas as condições de habilitação e qualificação exigidas na licitação;</w:t>
      </w:r>
    </w:p>
    <w:p w:rsidR="00D76DE2" w:rsidRPr="007B422B" w:rsidRDefault="00D76DE2" w:rsidP="00D76DE2">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9.24. </w:t>
      </w:r>
      <w:r w:rsidRPr="009459C1">
        <w:rPr>
          <w:rFonts w:ascii="Bookman Old Style" w:hAnsi="Bookman Old Style" w:cs="Arial"/>
          <w:sz w:val="24"/>
          <w:szCs w:val="24"/>
        </w:rPr>
        <w:t>Indicar preposto para representá-la durante a execução do contrato.</w:t>
      </w:r>
    </w:p>
    <w:p w:rsidR="00D76DE2" w:rsidRPr="009459C1" w:rsidRDefault="00D76DE2" w:rsidP="00D76DE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São obrigações do CONTRATANTE, exigir o cumprimento de todas as obrigações assumidas pelo CONTRATADO;</w:t>
      </w:r>
    </w:p>
    <w:p w:rsidR="00D76DE2" w:rsidRPr="009459C1" w:rsidRDefault="00D76DE2" w:rsidP="00D76DE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Receber o objeto no prazo e condições estabelecidas neste Termo de Referência;</w:t>
      </w:r>
    </w:p>
    <w:p w:rsidR="00D76DE2" w:rsidRPr="009459C1" w:rsidRDefault="00D76DE2" w:rsidP="00D76DE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Notificar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D76DE2" w:rsidRPr="009459C1" w:rsidRDefault="00D76DE2" w:rsidP="00D76DE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Acompanhar e fiscalizar a execução do contrato e o cumprimento das obrigações pelo CONTRATADO;</w:t>
      </w:r>
    </w:p>
    <w:p w:rsidR="00D76DE2" w:rsidRPr="009459C1" w:rsidRDefault="00D76DE2" w:rsidP="00D76DE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D76DE2" w:rsidRPr="009459C1" w:rsidRDefault="00D76DE2" w:rsidP="00D76DE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 xml:space="preserve">Efetuar o pagamento ao </w:t>
      </w:r>
      <w:r w:rsidRPr="009459C1">
        <w:rPr>
          <w:rFonts w:ascii="Bookman Old Style" w:eastAsia="Arial" w:hAnsi="Bookman Old Style" w:cs="Arial"/>
          <w:bCs/>
          <w:color w:val="000000"/>
          <w:sz w:val="24"/>
          <w:szCs w:val="24"/>
        </w:rPr>
        <w:t>CONTRATADO d</w:t>
      </w:r>
      <w:r w:rsidRPr="009459C1">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D76DE2" w:rsidRPr="009459C1" w:rsidRDefault="00D76DE2" w:rsidP="00D76DE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Aplicar ao </w:t>
      </w:r>
      <w:r w:rsidRPr="009459C1">
        <w:rPr>
          <w:rFonts w:ascii="Bookman Old Style" w:eastAsia="Arial" w:hAnsi="Bookman Old Style" w:cs="Arial"/>
          <w:bCs/>
          <w:color w:val="000000"/>
          <w:sz w:val="24"/>
          <w:szCs w:val="24"/>
        </w:rPr>
        <w:t xml:space="preserve">CONTRATADO as sanções previstas na lei; </w:t>
      </w:r>
    </w:p>
    <w:p w:rsidR="00D76DE2" w:rsidRPr="009459C1" w:rsidRDefault="00D76DE2" w:rsidP="00D76DE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rsidR="00D76DE2" w:rsidRPr="009459C1" w:rsidRDefault="00D76DE2" w:rsidP="00D76DE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D76DE2" w:rsidRDefault="00D76DE2" w:rsidP="00D76DE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Administração não responderá por quaisquer compromissos assumidos pelo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de seus empregados, prepostos ou subordinados.</w:t>
      </w:r>
    </w:p>
    <w:p w:rsidR="00D76DE2" w:rsidRPr="009459C1" w:rsidRDefault="00D76DE2" w:rsidP="00D76DE2">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p>
    <w:p w:rsidR="00D76DE2" w:rsidRPr="006A6721" w:rsidRDefault="00D76DE2" w:rsidP="00D76DE2">
      <w:pPr>
        <w:spacing w:after="120" w:line="240" w:lineRule="auto"/>
        <w:mirrorIndents/>
        <w:jc w:val="both"/>
        <w:rPr>
          <w:rFonts w:ascii="Bookman Old Style" w:hAnsi="Bookman Old Style"/>
          <w:sz w:val="24"/>
          <w:szCs w:val="24"/>
        </w:rPr>
      </w:pPr>
    </w:p>
    <w:p w:rsidR="00D76DE2" w:rsidRDefault="00D76DE2" w:rsidP="00D76DE2">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 DA PUBLICAÇÃO </w:t>
      </w:r>
      <w:r>
        <w:rPr>
          <w:rFonts w:ascii="Bookman Old Style" w:hAnsi="Bookman Old Style"/>
          <w:b/>
          <w:sz w:val="24"/>
          <w:szCs w:val="24"/>
        </w:rPr>
        <w:t>DA ATA</w:t>
      </w:r>
      <w:r w:rsidRPr="006A6721">
        <w:rPr>
          <w:rFonts w:ascii="Bookman Old Style" w:hAnsi="Bookman Old Style"/>
          <w:b/>
          <w:sz w:val="24"/>
          <w:szCs w:val="24"/>
        </w:rPr>
        <w:t xml:space="preserve"> </w:t>
      </w:r>
      <w:r w:rsidRPr="006A6721">
        <w:rPr>
          <w:rFonts w:ascii="Bookman Old Style" w:hAnsi="Bookman Old Style"/>
          <w:sz w:val="24"/>
          <w:szCs w:val="24"/>
        </w:rPr>
        <w:t xml:space="preserve"> </w:t>
      </w:r>
    </w:p>
    <w:p w:rsidR="00D76DE2" w:rsidRDefault="00D76DE2" w:rsidP="00D76DE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w:t>
      </w:r>
      <w:r>
        <w:rPr>
          <w:rFonts w:ascii="Bookman Old Style" w:hAnsi="Bookman Old Style"/>
          <w:sz w:val="24"/>
          <w:szCs w:val="24"/>
        </w:rPr>
        <w:t>Município</w:t>
      </w:r>
      <w:r w:rsidRPr="006A6721">
        <w:rPr>
          <w:rFonts w:ascii="Bookman Old Style" w:hAnsi="Bookman Old Style"/>
          <w:sz w:val="24"/>
          <w:szCs w:val="24"/>
        </w:rPr>
        <w:t xml:space="preserve"> providenciará a publicação </w:t>
      </w:r>
      <w:r>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rsidR="00D76DE2" w:rsidRPr="006A6721" w:rsidRDefault="00D76DE2" w:rsidP="00D76DE2">
      <w:pPr>
        <w:spacing w:after="120" w:line="240" w:lineRule="auto"/>
        <w:mirrorIndents/>
        <w:jc w:val="both"/>
        <w:rPr>
          <w:rFonts w:ascii="Bookman Old Style" w:hAnsi="Bookman Old Style"/>
          <w:sz w:val="24"/>
          <w:szCs w:val="24"/>
        </w:rPr>
      </w:pPr>
    </w:p>
    <w:p w:rsidR="00D76DE2"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D76DE2" w:rsidRDefault="00D76DE2" w:rsidP="00D76DE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rsidR="00D76DE2" w:rsidRPr="006A6721" w:rsidRDefault="00D76DE2" w:rsidP="00D76DE2">
      <w:pPr>
        <w:spacing w:after="120" w:line="240" w:lineRule="auto"/>
        <w:mirrorIndents/>
        <w:jc w:val="both"/>
        <w:rPr>
          <w:rFonts w:ascii="Bookman Old Style" w:hAnsi="Bookman Old Style"/>
          <w:sz w:val="24"/>
          <w:szCs w:val="24"/>
        </w:rPr>
      </w:pPr>
    </w:p>
    <w:p w:rsidR="00D76DE2"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D76DE2" w:rsidRPr="009459C1" w:rsidRDefault="00D76DE2" w:rsidP="00D76DE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Comete infração administrativa, nos termos da Lei n.º 14.133/2021, o </w:t>
      </w:r>
      <w:r w:rsidRPr="009459C1">
        <w:rPr>
          <w:rFonts w:ascii="Bookman Old Style" w:eastAsia="Arial" w:hAnsi="Bookman Old Style" w:cs="Arial"/>
          <w:bCs/>
          <w:color w:val="000000"/>
          <w:sz w:val="24"/>
          <w:szCs w:val="24"/>
        </w:rPr>
        <w:t>CONTRATADO q</w:t>
      </w:r>
      <w:r w:rsidRPr="009459C1">
        <w:rPr>
          <w:rFonts w:ascii="Bookman Old Style" w:eastAsia="Arial" w:hAnsi="Bookman Old Style" w:cs="Arial"/>
          <w:color w:val="000000"/>
          <w:sz w:val="24"/>
          <w:szCs w:val="24"/>
        </w:rPr>
        <w:t>ue:</w:t>
      </w:r>
    </w:p>
    <w:p w:rsidR="00D76DE2" w:rsidRPr="009459C1" w:rsidRDefault="00D76DE2" w:rsidP="00D76DE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w:t>
      </w:r>
    </w:p>
    <w:p w:rsidR="00D76DE2" w:rsidRPr="009459C1" w:rsidRDefault="00D76DE2" w:rsidP="00D76DE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rsidR="00D76DE2" w:rsidRPr="009459C1" w:rsidRDefault="00D76DE2" w:rsidP="00D76DE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total do contrato;</w:t>
      </w:r>
    </w:p>
    <w:p w:rsidR="00D76DE2" w:rsidRPr="009459C1" w:rsidRDefault="00D76DE2" w:rsidP="00D76DE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Ensejar o retardamento da execução ou da entrega do objeto da contratação sem motivo justificado;</w:t>
      </w:r>
    </w:p>
    <w:p w:rsidR="00D76DE2" w:rsidRPr="009459C1" w:rsidRDefault="00D76DE2" w:rsidP="00D76DE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Apresentar documentação falsa ou prestar declaração falsa durante a execução do contrato;</w:t>
      </w:r>
    </w:p>
    <w:p w:rsidR="00D76DE2" w:rsidRPr="009459C1" w:rsidRDefault="00D76DE2" w:rsidP="00D76DE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fraudulento na execução do contrato;</w:t>
      </w:r>
    </w:p>
    <w:p w:rsidR="00D76DE2" w:rsidRPr="009459C1" w:rsidRDefault="00D76DE2" w:rsidP="00D76DE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Comportar-se de modo inidôneo ou cometer fraude de qualquer natureza;</w:t>
      </w:r>
    </w:p>
    <w:p w:rsidR="00D76DE2" w:rsidRPr="009459C1" w:rsidRDefault="00D76DE2" w:rsidP="00D76DE2">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lesivo previsto no art. 5º da Lei n.º 12.846, de 1º de agosto de 2013.</w:t>
      </w:r>
    </w:p>
    <w:p w:rsidR="00D76DE2" w:rsidRPr="009459C1" w:rsidRDefault="00D76DE2" w:rsidP="00D76DE2">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12.2.</w:t>
      </w:r>
      <w:r w:rsidRPr="009459C1">
        <w:rPr>
          <w:rFonts w:ascii="Bookman Old Style" w:eastAsia="Arial" w:hAnsi="Bookman Old Style" w:cs="Arial"/>
          <w:color w:val="000000"/>
          <w:sz w:val="24"/>
          <w:szCs w:val="24"/>
        </w:rPr>
        <w:t xml:space="preserve"> Serão aplicadas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que incorrer nas infrações acima descritas as seguintes sanções:</w:t>
      </w:r>
    </w:p>
    <w:p w:rsidR="00D76DE2" w:rsidRPr="009459C1" w:rsidRDefault="00D76DE2" w:rsidP="00D76DE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lastRenderedPageBreak/>
        <w:t>Advertência, quando o CONTRATADO der causa à inexecução parcial do contrato, sempre que não se justificar a imposição de penalidade mais grave (Art. 156, §2º, da Lei n.º 14.133/2021);</w:t>
      </w:r>
    </w:p>
    <w:p w:rsidR="00D76DE2" w:rsidRPr="009459C1" w:rsidRDefault="00D76DE2" w:rsidP="00D76DE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D76DE2" w:rsidRPr="009459C1" w:rsidRDefault="00D76DE2" w:rsidP="00D76DE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D76DE2" w:rsidRPr="009459C1" w:rsidRDefault="00D76DE2" w:rsidP="00D76DE2">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Multa:</w:t>
      </w:r>
    </w:p>
    <w:p w:rsidR="00D76DE2" w:rsidRPr="009459C1" w:rsidRDefault="00D76DE2" w:rsidP="00D76DE2">
      <w:pPr>
        <w:numPr>
          <w:ilvl w:val="1"/>
          <w:numId w:val="3"/>
        </w:numPr>
        <w:pBdr>
          <w:top w:val="nil"/>
          <w:left w:val="nil"/>
          <w:bottom w:val="nil"/>
          <w:right w:val="nil"/>
          <w:between w:val="nil"/>
        </w:pBdr>
        <w:tabs>
          <w:tab w:val="left" w:pos="567"/>
        </w:tabs>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hAnsi="Bookman Old Style" w:cs="Arial"/>
          <w:sz w:val="24"/>
          <w:szCs w:val="24"/>
        </w:rPr>
        <w:t xml:space="preserve">   </w:t>
      </w:r>
      <w:r w:rsidRPr="009459C1">
        <w:rPr>
          <w:rFonts w:ascii="Bookman Old Style" w:eastAsia="Arial" w:hAnsi="Bookman Old Style" w:cs="Arial"/>
          <w:sz w:val="24"/>
          <w:szCs w:val="24"/>
        </w:rPr>
        <w:t>Moratória de 1% (um por cento) por dia de atraso injustificado sobre o valor da parcela inadimplida, até o limite de 30 (trinta) dias;</w:t>
      </w:r>
    </w:p>
    <w:p w:rsidR="00D76DE2" w:rsidRPr="009459C1" w:rsidRDefault="00D76DE2" w:rsidP="00D76DE2">
      <w:pPr>
        <w:numPr>
          <w:ilvl w:val="1"/>
          <w:numId w:val="3"/>
        </w:numPr>
        <w:pBdr>
          <w:top w:val="nil"/>
          <w:left w:val="nil"/>
          <w:bottom w:val="nil"/>
          <w:right w:val="nil"/>
          <w:between w:val="nil"/>
        </w:pBdr>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 atraso superior a 30 dias autoriza a Administração a promover a extinção do contrato por descumprimento ou cumprimento irregular de suas cláusulas, conforme dispõe o inciso I do art. 137 da Lei n.º 14.133/2021. </w:t>
      </w:r>
    </w:p>
    <w:p w:rsidR="00D76DE2" w:rsidRPr="009459C1" w:rsidRDefault="00D76DE2" w:rsidP="00D76DE2">
      <w:pPr>
        <w:numPr>
          <w:ilvl w:val="1"/>
          <w:numId w:val="3"/>
        </w:numPr>
        <w:pBdr>
          <w:top w:val="nil"/>
          <w:left w:val="nil"/>
          <w:bottom w:val="nil"/>
          <w:right w:val="nil"/>
          <w:between w:val="nil"/>
        </w:pBdr>
        <w:spacing w:after="120" w:line="269" w:lineRule="auto"/>
        <w:ind w:left="0" w:firstLine="284"/>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Compensatória de </w:t>
      </w:r>
      <w:r w:rsidRPr="009459C1">
        <w:rPr>
          <w:rFonts w:ascii="Bookman Old Style" w:eastAsia="Arial" w:hAnsi="Bookman Old Style" w:cs="Arial"/>
          <w:sz w:val="24"/>
          <w:szCs w:val="24"/>
        </w:rPr>
        <w:t xml:space="preserve">20% (vinte </w:t>
      </w:r>
      <w:r w:rsidRPr="009459C1">
        <w:rPr>
          <w:rFonts w:ascii="Bookman Old Style" w:eastAsia="Arial" w:hAnsi="Bookman Old Style" w:cs="Arial"/>
          <w:color w:val="000000"/>
          <w:sz w:val="24"/>
          <w:szCs w:val="24"/>
        </w:rPr>
        <w:t>por cento) sobre o valor total do contrato, no caso de inexecução total do objeto.</w:t>
      </w:r>
    </w:p>
    <w:p w:rsidR="00D76DE2" w:rsidRPr="009459C1" w:rsidRDefault="00D76DE2" w:rsidP="00D76DE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(Art. 156, §9º, da Lei n.º 14.133/2021);</w:t>
      </w:r>
    </w:p>
    <w:p w:rsidR="00D76DE2" w:rsidRPr="009459C1" w:rsidRDefault="00D76DE2" w:rsidP="00D76DE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Todas as sanções previstas neste termo poderão ser aplicadas cumulativamente com a multa (Art. 156, §7º, da Lei n.º 14.133/2021);</w:t>
      </w:r>
    </w:p>
    <w:p w:rsidR="00D76DE2" w:rsidRPr="009459C1" w:rsidRDefault="00D76DE2" w:rsidP="00D76DE2">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D76DE2" w:rsidRPr="009459C1" w:rsidRDefault="00D76DE2" w:rsidP="00D76DE2">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9459C1">
        <w:rPr>
          <w:rFonts w:ascii="Bookman Old Style" w:eastAsia="Arial" w:hAnsi="Bookman Old Style" w:cs="Arial"/>
          <w:bCs/>
          <w:color w:val="000000"/>
          <w:sz w:val="24"/>
          <w:szCs w:val="24"/>
        </w:rPr>
        <w:t>CONTRATANTE ao CONTRATADO</w:t>
      </w:r>
      <w:r w:rsidRPr="00945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D76DE2" w:rsidRPr="009459C1" w:rsidRDefault="00D76DE2" w:rsidP="00D76DE2">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9459C1">
        <w:rPr>
          <w:rFonts w:ascii="Bookman Old Style" w:eastAsia="Arial" w:hAnsi="Bookman Old Style" w:cs="Arial"/>
          <w:sz w:val="24"/>
          <w:szCs w:val="24"/>
        </w:rPr>
        <w:t>30 (trinta)</w:t>
      </w:r>
      <w:r w:rsidRPr="009459C1">
        <w:rPr>
          <w:rFonts w:ascii="Bookman Old Style" w:eastAsia="Arial" w:hAnsi="Bookman Old Style" w:cs="Arial"/>
          <w:color w:val="000000"/>
          <w:sz w:val="24"/>
          <w:szCs w:val="24"/>
        </w:rPr>
        <w:t xml:space="preserve"> dias, a contar da data do recebimento da comunicação enviada pela autoridade competente.</w:t>
      </w:r>
    </w:p>
    <w:p w:rsidR="00D76DE2" w:rsidRPr="009459C1" w:rsidRDefault="00D76DE2" w:rsidP="00D76DE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D76DE2" w:rsidRPr="009459C1" w:rsidRDefault="00D76DE2" w:rsidP="00D76DE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Na aplicação das sanções serão considerados (Art. 156, §1º, da Lei n.º 14.133/2021):</w:t>
      </w:r>
    </w:p>
    <w:p w:rsidR="00D76DE2" w:rsidRPr="009459C1" w:rsidRDefault="00D76DE2" w:rsidP="00D76DE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natureza e a gravidade da infração cometida;</w:t>
      </w:r>
    </w:p>
    <w:p w:rsidR="00D76DE2" w:rsidRPr="009459C1" w:rsidRDefault="00D76DE2" w:rsidP="00D76DE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peculiaridades do caso concreto;</w:t>
      </w:r>
    </w:p>
    <w:p w:rsidR="00D76DE2" w:rsidRPr="009459C1" w:rsidRDefault="00D76DE2" w:rsidP="00D76DE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circunstâncias agravantes ou atenuantes;</w:t>
      </w:r>
    </w:p>
    <w:p w:rsidR="00D76DE2" w:rsidRPr="009459C1" w:rsidRDefault="00D76DE2" w:rsidP="00D76DE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Os danos que dela provierem para o </w:t>
      </w:r>
      <w:r w:rsidRPr="009459C1">
        <w:rPr>
          <w:rFonts w:ascii="Bookman Old Style" w:eastAsia="Arial" w:hAnsi="Bookman Old Style" w:cs="Arial"/>
          <w:bCs/>
          <w:sz w:val="24"/>
          <w:szCs w:val="24"/>
        </w:rPr>
        <w:t>CONTRATANTE;</w:t>
      </w:r>
    </w:p>
    <w:p w:rsidR="00D76DE2" w:rsidRPr="009459C1" w:rsidRDefault="00D76DE2" w:rsidP="00D76DE2">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lastRenderedPageBreak/>
        <w:t>A implantação ou o aperfeiçoamento de programa de integridade, conforme normas e orientações dos órgãos de controle.</w:t>
      </w:r>
    </w:p>
    <w:p w:rsidR="00D76DE2" w:rsidRPr="009459C1" w:rsidRDefault="00D76DE2" w:rsidP="00D76DE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D76DE2" w:rsidRPr="009459C1" w:rsidRDefault="00D76DE2" w:rsidP="00D76DE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personalidade jurídica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D76DE2" w:rsidRPr="009459C1" w:rsidRDefault="00D76DE2" w:rsidP="00D76DE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9459C1">
        <w:rPr>
          <w:rFonts w:ascii="Bookman Old Style" w:eastAsia="Arial" w:hAnsi="Bookman Old Style" w:cs="Arial"/>
          <w:color w:val="000000"/>
          <w:sz w:val="24"/>
          <w:szCs w:val="24"/>
        </w:rPr>
        <w:t>CEIS</w:t>
      </w:r>
      <w:proofErr w:type="spellEnd"/>
      <w:r w:rsidRPr="009459C1">
        <w:rPr>
          <w:rFonts w:ascii="Bookman Old Style" w:eastAsia="Arial" w:hAnsi="Bookman Old Style" w:cs="Arial"/>
          <w:color w:val="000000"/>
          <w:sz w:val="24"/>
          <w:szCs w:val="24"/>
        </w:rPr>
        <w:t>) e no Cadastro Nacional de Empresas Punidas (</w:t>
      </w:r>
      <w:proofErr w:type="spellStart"/>
      <w:r w:rsidRPr="009459C1">
        <w:rPr>
          <w:rFonts w:ascii="Bookman Old Style" w:eastAsia="Arial" w:hAnsi="Bookman Old Style" w:cs="Arial"/>
          <w:color w:val="000000"/>
          <w:sz w:val="24"/>
          <w:szCs w:val="24"/>
        </w:rPr>
        <w:t>CNEP</w:t>
      </w:r>
      <w:proofErr w:type="spellEnd"/>
      <w:r w:rsidRPr="009459C1">
        <w:rPr>
          <w:rFonts w:ascii="Bookman Old Style" w:eastAsia="Arial" w:hAnsi="Bookman Old Style" w:cs="Arial"/>
          <w:color w:val="000000"/>
          <w:sz w:val="24"/>
          <w:szCs w:val="24"/>
        </w:rPr>
        <w:t>), instituídos no âmbito do Poder Executivo Federal (Art. 161 da Lei n.º 14.133/2021);</w:t>
      </w:r>
    </w:p>
    <w:p w:rsidR="00D76DE2" w:rsidRPr="009459C1" w:rsidRDefault="00D76DE2" w:rsidP="00D76DE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D76DE2" w:rsidRPr="009459C1" w:rsidRDefault="00D76DE2" w:rsidP="00D76DE2">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Os débitos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para com a Administração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9459C1">
        <w:rPr>
          <w:rFonts w:ascii="Bookman Old Style" w:eastAsia="Arial" w:hAnsi="Bookman Old Style" w:cs="Arial"/>
          <w:bCs/>
          <w:color w:val="000000"/>
          <w:sz w:val="24"/>
          <w:szCs w:val="24"/>
        </w:rPr>
        <w:t>CONTRATADO possua com o mesmo órgão ora CONTRATANTE</w:t>
      </w:r>
      <w:r w:rsidRPr="009459C1">
        <w:rPr>
          <w:rFonts w:ascii="Bookman Old Style" w:eastAsia="Arial" w:hAnsi="Bookman Old Style" w:cs="Arial"/>
          <w:color w:val="000000"/>
          <w:sz w:val="24"/>
          <w:szCs w:val="24"/>
        </w:rPr>
        <w:t>.</w:t>
      </w:r>
    </w:p>
    <w:p w:rsidR="00D76DE2" w:rsidRPr="006A6721" w:rsidRDefault="00D76DE2" w:rsidP="00D76DE2">
      <w:pPr>
        <w:spacing w:after="120" w:line="240" w:lineRule="auto"/>
        <w:contextualSpacing/>
        <w:jc w:val="both"/>
        <w:rPr>
          <w:rFonts w:ascii="Bookman Old Style" w:hAnsi="Bookman Old Style"/>
          <w:sz w:val="24"/>
          <w:szCs w:val="24"/>
        </w:rPr>
      </w:pPr>
    </w:p>
    <w:p w:rsidR="00D76DE2"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D76DE2" w:rsidRDefault="00D76DE2" w:rsidP="00D76DE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 e Decreto Municipal n. 141/2023</w:t>
      </w:r>
      <w:r w:rsidRPr="006A6721">
        <w:rPr>
          <w:rFonts w:ascii="Bookman Old Style" w:hAnsi="Bookman Old Style"/>
          <w:sz w:val="24"/>
          <w:szCs w:val="24"/>
        </w:rPr>
        <w:t>.</w:t>
      </w:r>
    </w:p>
    <w:p w:rsidR="00D76DE2" w:rsidRPr="006A6721" w:rsidRDefault="00D76DE2" w:rsidP="00745CA4">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D76DE2"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D76DE2" w:rsidRPr="006A6721" w:rsidRDefault="00D76DE2" w:rsidP="00745CA4">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Pr>
          <w:rFonts w:ascii="Bookman Old Style" w:hAnsi="Bookman Old Style"/>
          <w:sz w:val="24"/>
          <w:szCs w:val="24"/>
        </w:rPr>
        <w:t>.</w:t>
      </w:r>
      <w:r w:rsidRPr="006A6721">
        <w:rPr>
          <w:rFonts w:ascii="Bookman Old Style" w:hAnsi="Bookman Old Style"/>
          <w:sz w:val="24"/>
          <w:szCs w:val="24"/>
        </w:rPr>
        <w:t xml:space="preserve"> </w:t>
      </w:r>
      <w:r>
        <w:rPr>
          <w:rFonts w:ascii="Bookman Old Style" w:hAnsi="Bookman Old Style"/>
          <w:sz w:val="24"/>
          <w:szCs w:val="24"/>
        </w:rPr>
        <w:t xml:space="preserve">Caberá ao </w:t>
      </w:r>
      <w:r w:rsidRPr="006A6721">
        <w:rPr>
          <w:rFonts w:ascii="Bookman Old Style" w:hAnsi="Bookman Old Style"/>
          <w:sz w:val="24"/>
          <w:szCs w:val="24"/>
        </w:rPr>
        <w:t xml:space="preserve">representante </w:t>
      </w:r>
      <w:r>
        <w:rPr>
          <w:rFonts w:ascii="Bookman Old Style" w:hAnsi="Bookman Old Style"/>
          <w:sz w:val="24"/>
          <w:szCs w:val="24"/>
        </w:rPr>
        <w:t xml:space="preserve">institucional </w:t>
      </w:r>
      <w:r w:rsidRPr="006A6721">
        <w:rPr>
          <w:rFonts w:ascii="Bookman Old Style" w:hAnsi="Bookman Old Style"/>
          <w:sz w:val="24"/>
          <w:szCs w:val="24"/>
        </w:rPr>
        <w:t>acompanhar e fiscalizar a entrega dos bens</w:t>
      </w:r>
      <w:r>
        <w:rPr>
          <w:rFonts w:ascii="Bookman Old Style" w:hAnsi="Bookman Old Style"/>
          <w:sz w:val="24"/>
          <w:szCs w:val="24"/>
        </w:rPr>
        <w:t>/execução dos serviços</w:t>
      </w:r>
      <w:r w:rsidRPr="006A6721">
        <w:rPr>
          <w:rFonts w:ascii="Bookman Old Style" w:hAnsi="Bookman Old Style"/>
          <w:sz w:val="24"/>
          <w:szCs w:val="24"/>
        </w:rPr>
        <w:t>, anotando em registro próprio todas as ocorrências relacionadas com a execução e determinando o que for necessário à regularização de falhas ou defeitos observados.</w:t>
      </w:r>
    </w:p>
    <w:p w:rsidR="00D76DE2" w:rsidRDefault="00D76DE2" w:rsidP="00745CA4">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D76DE2" w:rsidRDefault="00D76DE2" w:rsidP="00745CA4">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lastRenderedPageBreak/>
        <w:t>14.</w:t>
      </w:r>
      <w:r>
        <w:rPr>
          <w:rFonts w:ascii="Bookman Old Style" w:hAnsi="Bookman Old Style"/>
          <w:sz w:val="24"/>
          <w:szCs w:val="24"/>
        </w:rPr>
        <w:t>2.</w:t>
      </w:r>
      <w:r w:rsidRPr="002F6F0A">
        <w:rPr>
          <w:rFonts w:ascii="Bookman Old Style" w:hAnsi="Bookman Old Style"/>
          <w:sz w:val="24"/>
          <w:szCs w:val="24"/>
        </w:rPr>
        <w:t xml:space="preserve"> </w:t>
      </w:r>
      <w:r w:rsidRPr="00D021F5">
        <w:rPr>
          <w:rFonts w:ascii="Bookman Old Style" w:hAnsi="Bookman Old Style"/>
          <w:sz w:val="24"/>
          <w:szCs w:val="24"/>
          <w:lang w:eastAsia="zh-CN"/>
        </w:rPr>
        <w:t>A execução do</w:t>
      </w:r>
      <w:r>
        <w:rPr>
          <w:rFonts w:ascii="Bookman Old Style" w:hAnsi="Bookman Old Style"/>
          <w:sz w:val="24"/>
          <w:szCs w:val="24"/>
          <w:lang w:eastAsia="zh-CN"/>
        </w:rPr>
        <w:t>s</w:t>
      </w:r>
      <w:r w:rsidRPr="00D021F5">
        <w:rPr>
          <w:rFonts w:ascii="Bookman Old Style" w:hAnsi="Bookman Old Style"/>
          <w:sz w:val="24"/>
          <w:szCs w:val="24"/>
          <w:lang w:eastAsia="zh-CN"/>
        </w:rPr>
        <w:t xml:space="preserve"> contrato</w:t>
      </w:r>
      <w:r>
        <w:rPr>
          <w:rFonts w:ascii="Bookman Old Style" w:hAnsi="Bookman Old Style"/>
          <w:sz w:val="24"/>
          <w:szCs w:val="24"/>
          <w:lang w:eastAsia="zh-CN"/>
        </w:rPr>
        <w:t>s decorrentes desta ata de registro de preços</w:t>
      </w:r>
      <w:r w:rsidRPr="00D021F5">
        <w:rPr>
          <w:rFonts w:ascii="Bookman Old Style" w:hAnsi="Bookman Old Style"/>
          <w:sz w:val="24"/>
          <w:szCs w:val="24"/>
          <w:lang w:eastAsia="zh-CN"/>
        </w:rPr>
        <w:t xml:space="preserve"> será acompanhada e fiscalizada p</w:t>
      </w:r>
      <w:r>
        <w:rPr>
          <w:rFonts w:ascii="Bookman Old Style" w:hAnsi="Bookman Old Style"/>
          <w:sz w:val="24"/>
          <w:szCs w:val="24"/>
          <w:lang w:eastAsia="zh-CN"/>
        </w:rPr>
        <w:t>elo</w:t>
      </w:r>
      <w:r w:rsidRPr="00712875">
        <w:rPr>
          <w:rFonts w:ascii="Bookman Old Style" w:eastAsia="Arial" w:hAnsi="Bookman Old Style" w:cs="Arial"/>
          <w:sz w:val="24"/>
          <w:szCs w:val="24"/>
        </w:rPr>
        <w:t xml:space="preserve"> </w:t>
      </w:r>
      <w:proofErr w:type="spellStart"/>
      <w:r>
        <w:rPr>
          <w:rFonts w:ascii="Bookman Old Style" w:eastAsia="Arial" w:hAnsi="Bookman Old Style" w:cs="Arial"/>
          <w:color w:val="000000"/>
          <w:sz w:val="24"/>
          <w:szCs w:val="24"/>
        </w:rPr>
        <w:t>Claucimar</w:t>
      </w:r>
      <w:proofErr w:type="spellEnd"/>
      <w:r>
        <w:rPr>
          <w:rFonts w:ascii="Bookman Old Style" w:eastAsia="Arial" w:hAnsi="Bookman Old Style" w:cs="Arial"/>
          <w:color w:val="000000"/>
          <w:sz w:val="24"/>
          <w:szCs w:val="24"/>
        </w:rPr>
        <w:t xml:space="preserve"> Mateus </w:t>
      </w:r>
      <w:proofErr w:type="spellStart"/>
      <w:r>
        <w:rPr>
          <w:rFonts w:ascii="Bookman Old Style" w:eastAsia="Arial" w:hAnsi="Bookman Old Style" w:cs="Arial"/>
          <w:color w:val="000000"/>
          <w:sz w:val="24"/>
          <w:szCs w:val="24"/>
        </w:rPr>
        <w:t>Obetzne</w:t>
      </w:r>
      <w:proofErr w:type="spellEnd"/>
      <w:r>
        <w:rPr>
          <w:rFonts w:ascii="Bookman Old Style" w:eastAsia="Arial" w:hAnsi="Bookman Old Style" w:cs="Arial"/>
          <w:color w:val="000000"/>
          <w:sz w:val="24"/>
          <w:szCs w:val="24"/>
        </w:rPr>
        <w:t xml:space="preserve"> (Secretário de Agricultura, Indústria e Comércio)</w:t>
      </w:r>
      <w:r>
        <w:rPr>
          <w:rFonts w:ascii="Bookman Old Style" w:hAnsi="Bookman Old Style"/>
          <w:sz w:val="24"/>
          <w:szCs w:val="24"/>
          <w:lang w:eastAsia="zh-CN"/>
        </w:rPr>
        <w:t>,</w:t>
      </w:r>
      <w:r w:rsidRPr="00D021F5">
        <w:rPr>
          <w:rFonts w:ascii="Bookman Old Style" w:hAnsi="Bookman Old Style"/>
          <w:color w:val="000000"/>
          <w:sz w:val="24"/>
          <w:szCs w:val="24"/>
        </w:rPr>
        <w:t xml:space="preserve"> que atuar</w:t>
      </w:r>
      <w:r>
        <w:rPr>
          <w:rFonts w:ascii="Bookman Old Style" w:hAnsi="Bookman Old Style"/>
          <w:color w:val="000000"/>
          <w:sz w:val="24"/>
          <w:szCs w:val="24"/>
        </w:rPr>
        <w:t>á</w:t>
      </w:r>
      <w:r w:rsidRPr="00D021F5">
        <w:rPr>
          <w:rFonts w:ascii="Bookman Old Style" w:hAnsi="Bookman Old Style"/>
          <w:color w:val="000000"/>
          <w:sz w:val="24"/>
          <w:szCs w:val="24"/>
        </w:rPr>
        <w:t xml:space="preserve"> como representante instituciona</w:t>
      </w:r>
      <w:r>
        <w:rPr>
          <w:rFonts w:ascii="Bookman Old Style" w:hAnsi="Bookman Old Style"/>
          <w:color w:val="000000"/>
          <w:sz w:val="24"/>
          <w:szCs w:val="24"/>
        </w:rPr>
        <w:t>l e a</w:t>
      </w:r>
      <w:r w:rsidRPr="00D021F5">
        <w:rPr>
          <w:rFonts w:ascii="Bookman Old Style" w:hAnsi="Bookman Old Style"/>
          <w:color w:val="000000"/>
          <w:sz w:val="24"/>
          <w:szCs w:val="24"/>
        </w:rPr>
        <w:t xml:space="preserve"> gest</w:t>
      </w:r>
      <w:r>
        <w:rPr>
          <w:rFonts w:ascii="Bookman Old Style" w:hAnsi="Bookman Old Style"/>
          <w:color w:val="000000"/>
          <w:sz w:val="24"/>
          <w:szCs w:val="24"/>
        </w:rPr>
        <w:t>ão</w:t>
      </w:r>
      <w:r w:rsidRPr="00D021F5">
        <w:rPr>
          <w:rFonts w:ascii="Bookman Old Style" w:hAnsi="Bookman Old Style"/>
          <w:color w:val="000000"/>
          <w:sz w:val="24"/>
          <w:szCs w:val="24"/>
        </w:rPr>
        <w:t xml:space="preserve"> do contrato</w:t>
      </w:r>
      <w:r>
        <w:rPr>
          <w:rFonts w:ascii="Bookman Old Style" w:hAnsi="Bookman Old Style"/>
          <w:color w:val="000000"/>
          <w:sz w:val="24"/>
          <w:szCs w:val="24"/>
        </w:rPr>
        <w:t xml:space="preserve"> caberá </w:t>
      </w:r>
      <w:r w:rsidRPr="00D021F5">
        <w:rPr>
          <w:rFonts w:ascii="Bookman Old Style" w:hAnsi="Bookman Old Style"/>
          <w:color w:val="000000"/>
          <w:sz w:val="24"/>
          <w:szCs w:val="24"/>
        </w:rPr>
        <w:t>a servidora Angelita Gabriel.</w:t>
      </w:r>
    </w:p>
    <w:p w:rsidR="00D76DE2" w:rsidRDefault="00D76DE2" w:rsidP="00745CA4">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rsidR="00D76DE2" w:rsidRDefault="00D76DE2" w:rsidP="00745CA4">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rsidR="00D76DE2" w:rsidRDefault="00D76DE2" w:rsidP="00745CA4">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rsidR="00D76DE2" w:rsidRPr="006A6721" w:rsidRDefault="00D76DE2" w:rsidP="00745CA4">
      <w:pPr>
        <w:spacing w:after="0" w:line="240" w:lineRule="auto"/>
        <w:mirrorIndents/>
        <w:jc w:val="both"/>
        <w:rPr>
          <w:rFonts w:ascii="Bookman Old Style" w:hAnsi="Bookman Old Style"/>
          <w:sz w:val="24"/>
          <w:szCs w:val="24"/>
        </w:rPr>
      </w:pPr>
      <w:r>
        <w:rPr>
          <w:rFonts w:ascii="Bookman Old Style" w:hAnsi="Bookman Old Style"/>
          <w:sz w:val="24"/>
          <w:szCs w:val="24"/>
        </w:rPr>
        <w:t>14.3.2.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rsidR="00D76DE2" w:rsidRDefault="00D76DE2" w:rsidP="00745CA4">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76DE2" w:rsidRPr="006A6721" w:rsidRDefault="00D76DE2" w:rsidP="00D76DE2">
      <w:pPr>
        <w:spacing w:after="120" w:line="240" w:lineRule="auto"/>
        <w:mirrorIndents/>
        <w:jc w:val="both"/>
        <w:rPr>
          <w:rFonts w:ascii="Bookman Old Style" w:hAnsi="Bookman Old Style"/>
          <w:sz w:val="24"/>
          <w:szCs w:val="24"/>
        </w:rPr>
      </w:pPr>
    </w:p>
    <w:p w:rsidR="00D76DE2" w:rsidRDefault="00D76DE2" w:rsidP="00D76DE2">
      <w:pPr>
        <w:spacing w:after="12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D76DE2" w:rsidRPr="006A6721" w:rsidRDefault="00D76DE2" w:rsidP="00D76DE2">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D76DE2" w:rsidRDefault="00D76DE2" w:rsidP="00C805A4">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rsidR="00D76DE2" w:rsidRDefault="00D76DE2" w:rsidP="00D76DE2">
      <w:pPr>
        <w:spacing w:after="12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Pr>
          <w:rFonts w:ascii="Bookman Old Style" w:hAnsi="Bookman Old Style"/>
          <w:sz w:val="24"/>
          <w:szCs w:val="24"/>
        </w:rPr>
        <w:t>29</w:t>
      </w:r>
      <w:r w:rsidRPr="006A6721">
        <w:rPr>
          <w:rFonts w:ascii="Bookman Old Style" w:hAnsi="Bookman Old Style"/>
          <w:sz w:val="24"/>
          <w:szCs w:val="24"/>
        </w:rPr>
        <w:t xml:space="preserve"> de </w:t>
      </w:r>
      <w:r>
        <w:rPr>
          <w:rFonts w:ascii="Bookman Old Style" w:hAnsi="Bookman Old Style"/>
          <w:sz w:val="24"/>
          <w:szCs w:val="24"/>
        </w:rPr>
        <w:t>maio</w:t>
      </w:r>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rsidR="00C805A4" w:rsidRDefault="00C805A4" w:rsidP="00D76DE2">
      <w:pPr>
        <w:spacing w:after="120" w:line="240" w:lineRule="auto"/>
        <w:mirrorIndents/>
        <w:jc w:val="right"/>
        <w:rPr>
          <w:rFonts w:ascii="Bookman Old Style" w:hAnsi="Bookman Old Style"/>
          <w:sz w:val="24"/>
          <w:szCs w:val="24"/>
        </w:rPr>
      </w:pPr>
      <w:bookmarkStart w:id="0" w:name="_GoBack"/>
      <w:bookmarkEnd w:id="0"/>
    </w:p>
    <w:p w:rsidR="002863CF" w:rsidRPr="006A6721" w:rsidRDefault="002863CF" w:rsidP="00582E06">
      <w:pPr>
        <w:spacing w:after="120" w:line="240" w:lineRule="auto"/>
        <w:mirrorIndents/>
        <w:rPr>
          <w:rFonts w:ascii="Bookman Old Style" w:hAnsi="Bookman Old Style"/>
          <w:sz w:val="24"/>
          <w:szCs w:val="24"/>
        </w:rPr>
      </w:pPr>
    </w:p>
    <w:p w:rsidR="00D76DE2" w:rsidRPr="006A6721" w:rsidRDefault="00D76DE2" w:rsidP="002863CF">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rsidR="00D76DE2" w:rsidRDefault="00D76DE2" w:rsidP="002863CF">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rsidR="00D76DE2" w:rsidRDefault="00D76DE2" w:rsidP="002863CF">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rsidR="00D76DE2" w:rsidRDefault="00D76DE2" w:rsidP="00D76DE2">
      <w:pPr>
        <w:spacing w:after="120" w:line="240" w:lineRule="auto"/>
        <w:mirrorIndents/>
        <w:rPr>
          <w:rFonts w:ascii="Bookman Old Style" w:hAnsi="Bookman Old Style"/>
          <w:sz w:val="24"/>
          <w:szCs w:val="24"/>
        </w:rPr>
      </w:pPr>
    </w:p>
    <w:p w:rsidR="002863CF" w:rsidRPr="006A6721" w:rsidRDefault="002863CF" w:rsidP="00D76DE2">
      <w:pPr>
        <w:spacing w:after="120" w:line="240" w:lineRule="auto"/>
        <w:mirrorIndents/>
        <w:rPr>
          <w:rFonts w:ascii="Bookman Old Style" w:hAnsi="Bookman Old Style"/>
          <w:sz w:val="24"/>
          <w:szCs w:val="24"/>
        </w:rPr>
      </w:pPr>
    </w:p>
    <w:p w:rsidR="00D76DE2" w:rsidRPr="006A6721" w:rsidRDefault="00D76DE2" w:rsidP="00D76DE2">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2863CF" w:rsidRDefault="002863CF" w:rsidP="002863CF">
      <w:pPr>
        <w:spacing w:after="0" w:line="240" w:lineRule="auto"/>
        <w:mirrorIndents/>
        <w:jc w:val="center"/>
        <w:rPr>
          <w:rFonts w:ascii="Bookman Old Style" w:hAnsi="Bookman Old Style"/>
          <w:sz w:val="24"/>
          <w:szCs w:val="24"/>
        </w:rPr>
      </w:pPr>
      <w:r w:rsidRPr="001966A3">
        <w:rPr>
          <w:rFonts w:ascii="Bookman Old Style" w:hAnsi="Bookman Old Style"/>
          <w:b/>
          <w:sz w:val="24"/>
          <w:szCs w:val="24"/>
        </w:rPr>
        <w:t>TARSO MELLO OLIVEIRA LTDA</w:t>
      </w:r>
    </w:p>
    <w:p w:rsidR="002863CF" w:rsidRDefault="002863CF" w:rsidP="002863CF">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CNPJ n.</w:t>
      </w:r>
      <w:r>
        <w:rPr>
          <w:rFonts w:ascii="Bookman Old Style" w:hAnsi="Bookman Old Style"/>
          <w:sz w:val="24"/>
          <w:szCs w:val="24"/>
        </w:rPr>
        <w:t xml:space="preserve"> 11.052.224/0001-63</w:t>
      </w:r>
    </w:p>
    <w:p w:rsidR="002863CF" w:rsidRDefault="002863CF" w:rsidP="002863CF">
      <w:pPr>
        <w:spacing w:after="0" w:line="240" w:lineRule="auto"/>
        <w:mirrorIndents/>
        <w:jc w:val="center"/>
        <w:rPr>
          <w:rFonts w:ascii="Bookman Old Style" w:hAnsi="Bookman Old Style"/>
          <w:sz w:val="24"/>
          <w:szCs w:val="24"/>
        </w:rPr>
      </w:pPr>
      <w:r>
        <w:rPr>
          <w:rFonts w:ascii="Bookman Old Style" w:hAnsi="Bookman Old Style"/>
          <w:sz w:val="24"/>
          <w:szCs w:val="24"/>
        </w:rPr>
        <w:t>Tarso de Mello Oliveira</w:t>
      </w:r>
    </w:p>
    <w:p w:rsidR="00D76DE2" w:rsidRPr="006A6721" w:rsidRDefault="00D76DE2" w:rsidP="002863CF">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rsidR="002863CF" w:rsidRDefault="00D76DE2" w:rsidP="00D76DE2">
      <w:pPr>
        <w:spacing w:after="120" w:line="240" w:lineRule="auto"/>
        <w:mirrorIndents/>
        <w:rPr>
          <w:rFonts w:ascii="Bookman Old Style" w:hAnsi="Bookman Old Style"/>
          <w:sz w:val="24"/>
          <w:szCs w:val="24"/>
        </w:rPr>
      </w:pPr>
      <w:r w:rsidRPr="006A6721">
        <w:rPr>
          <w:rFonts w:ascii="Bookman Old Style" w:hAnsi="Bookman Old Style"/>
          <w:sz w:val="24"/>
          <w:szCs w:val="24"/>
        </w:rPr>
        <w:t>Testemunhas:</w:t>
      </w:r>
    </w:p>
    <w:p w:rsidR="00D76DE2" w:rsidRPr="006A6721" w:rsidRDefault="00D76DE2" w:rsidP="00D76DE2">
      <w:pPr>
        <w:spacing w:after="120" w:line="240" w:lineRule="auto"/>
        <w:mirrorIndents/>
        <w:rPr>
          <w:rFonts w:ascii="Bookman Old Style" w:hAnsi="Bookman Old Style"/>
          <w:sz w:val="24"/>
          <w:szCs w:val="24"/>
        </w:rPr>
      </w:pPr>
    </w:p>
    <w:p w:rsidR="00D76DE2" w:rsidRPr="006A6721" w:rsidRDefault="00D76DE2" w:rsidP="00D76DE2">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rsidR="00D76DE2" w:rsidRPr="006A6721" w:rsidRDefault="00D76DE2" w:rsidP="00D76DE2">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r>
        <w:rPr>
          <w:rFonts w:ascii="Bookman Old Style" w:hAnsi="Bookman Old Style"/>
          <w:sz w:val="24"/>
          <w:szCs w:val="24"/>
        </w:rPr>
        <w:t xml:space="preserve"> </w:t>
      </w:r>
    </w:p>
    <w:p w:rsidR="00D76DE2" w:rsidRDefault="00D76DE2" w:rsidP="00D76DE2">
      <w:pPr>
        <w:spacing w:after="120" w:line="240" w:lineRule="auto"/>
        <w:rPr>
          <w:rFonts w:ascii="Bookman Old Style" w:hAnsi="Bookman Old Style"/>
          <w:b/>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sectPr w:rsidR="00D76DE2" w:rsidSect="00745CA4">
      <w:headerReference w:type="default" r:id="rId5"/>
      <w:footerReference w:type="default" r:id="rId6"/>
      <w:pgSz w:w="11907" w:h="16840" w:code="9"/>
      <w:pgMar w:top="958" w:right="850" w:bottom="851" w:left="1276"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C805A4">
    <w:pPr>
      <w:pStyle w:val="Rodap"/>
    </w:pPr>
  </w:p>
  <w:p w:rsidR="00ED7F54" w:rsidRDefault="00C805A4">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D76DE2">
    <w:pPr>
      <w:pStyle w:val="Cabealho"/>
    </w:pPr>
    <w:r>
      <w:rPr>
        <w:noProof/>
      </w:rPr>
      <w:drawing>
        <wp:anchor distT="0" distB="0" distL="114300" distR="114300" simplePos="0" relativeHeight="251659264" behindDoc="0" locked="0" layoutInCell="1" allowOverlap="0">
          <wp:simplePos x="0" y="0"/>
          <wp:positionH relativeFrom="page">
            <wp:posOffset>1438275</wp:posOffset>
          </wp:positionH>
          <wp:positionV relativeFrom="page">
            <wp:posOffset>171450</wp:posOffset>
          </wp:positionV>
          <wp:extent cx="4581525" cy="781050"/>
          <wp:effectExtent l="0" t="0" r="9525"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7F54" w:rsidRDefault="00C805A4" w:rsidP="00502B01">
    <w:pPr>
      <w:pStyle w:val="Cabealho"/>
      <w:jc w:val="center"/>
    </w:pPr>
  </w:p>
  <w:p w:rsidR="00ED7F54" w:rsidRDefault="00C805A4" w:rsidP="00502B01">
    <w:pPr>
      <w:pStyle w:val="Cabealho"/>
      <w:jc w:val="center"/>
    </w:pPr>
  </w:p>
  <w:p w:rsidR="00ED7F54" w:rsidRDefault="00C805A4" w:rsidP="00502B01">
    <w:pPr>
      <w:pStyle w:val="Cabealho"/>
      <w:jc w:val="center"/>
    </w:pPr>
  </w:p>
  <w:p w:rsidR="00ED7F54" w:rsidRDefault="00C805A4" w:rsidP="00502B01">
    <w:pPr>
      <w:pStyle w:val="Cabealho"/>
      <w:jc w:val="center"/>
    </w:pPr>
  </w:p>
  <w:p w:rsidR="00ED7F54" w:rsidRDefault="00C805A4"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30CFC"/>
    <w:multiLevelType w:val="multilevel"/>
    <w:tmpl w:val="A538CBA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246F6BF7"/>
    <w:multiLevelType w:val="multilevel"/>
    <w:tmpl w:val="7318F1C8"/>
    <w:lvl w:ilvl="0">
      <w:start w:val="9"/>
      <w:numFmt w:val="decimal"/>
      <w:lvlText w:val="%1."/>
      <w:lvlJc w:val="left"/>
      <w:pPr>
        <w:ind w:left="600" w:hanging="600"/>
      </w:pPr>
      <w:rPr>
        <w:rFonts w:hint="default"/>
      </w:rPr>
    </w:lvl>
    <w:lvl w:ilvl="1">
      <w:start w:val="28"/>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abstractNum w:abstractNumId="3" w15:restartNumberingAfterBreak="0">
    <w:nsid w:val="29A13F07"/>
    <w:multiLevelType w:val="multilevel"/>
    <w:tmpl w:val="668A49A2"/>
    <w:lvl w:ilvl="0">
      <w:start w:val="12"/>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4"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E624C5B"/>
    <w:multiLevelType w:val="multilevel"/>
    <w:tmpl w:val="5B9605BA"/>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6EF7909"/>
    <w:multiLevelType w:val="multilevel"/>
    <w:tmpl w:val="38961C02"/>
    <w:lvl w:ilvl="0">
      <w:start w:val="9"/>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num w:numId="1">
    <w:abstractNumId w:val="0"/>
  </w:num>
  <w:num w:numId="2">
    <w:abstractNumId w:val="5"/>
  </w:num>
  <w:num w:numId="3">
    <w:abstractNumId w:val="7"/>
  </w:num>
  <w:num w:numId="4">
    <w:abstractNumId w:val="4"/>
  </w:num>
  <w:num w:numId="5">
    <w:abstractNumId w:val="1"/>
  </w:num>
  <w:num w:numId="6">
    <w:abstractNumId w:val="8"/>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DE2"/>
    <w:rsid w:val="001966A3"/>
    <w:rsid w:val="002863CF"/>
    <w:rsid w:val="00582E06"/>
    <w:rsid w:val="006538B8"/>
    <w:rsid w:val="00745CA4"/>
    <w:rsid w:val="00A5338F"/>
    <w:rsid w:val="00C805A4"/>
    <w:rsid w:val="00D55AF7"/>
    <w:rsid w:val="00D76D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9B761"/>
  <w15:chartTrackingRefBased/>
  <w15:docId w15:val="{6906A2DD-5CC0-461B-8D32-CE3FED572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6DE2"/>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D76DE2"/>
    <w:pPr>
      <w:tabs>
        <w:tab w:val="center" w:pos="4252"/>
        <w:tab w:val="right" w:pos="8504"/>
      </w:tabs>
      <w:spacing w:after="0" w:line="240" w:lineRule="auto"/>
    </w:pPr>
  </w:style>
  <w:style w:type="character" w:customStyle="1" w:styleId="CabealhoChar">
    <w:name w:val="Cabeçalho Char"/>
    <w:basedOn w:val="Fontepargpadro"/>
    <w:link w:val="Cabealho"/>
    <w:rsid w:val="00D76DE2"/>
    <w:rPr>
      <w:rFonts w:ascii="Calibri" w:eastAsia="Calibri" w:hAnsi="Calibri" w:cs="Times New Roman"/>
    </w:rPr>
  </w:style>
  <w:style w:type="paragraph" w:styleId="Rodap">
    <w:name w:val="footer"/>
    <w:basedOn w:val="Normal"/>
    <w:link w:val="RodapChar"/>
    <w:unhideWhenUsed/>
    <w:qFormat/>
    <w:rsid w:val="00D76DE2"/>
    <w:pPr>
      <w:tabs>
        <w:tab w:val="center" w:pos="4252"/>
        <w:tab w:val="right" w:pos="8504"/>
      </w:tabs>
      <w:spacing w:after="0" w:line="240" w:lineRule="auto"/>
    </w:pPr>
  </w:style>
  <w:style w:type="character" w:customStyle="1" w:styleId="RodapChar">
    <w:name w:val="Rodapé Char"/>
    <w:basedOn w:val="Fontepargpadro"/>
    <w:link w:val="Rodap"/>
    <w:rsid w:val="00D76DE2"/>
    <w:rPr>
      <w:rFonts w:ascii="Calibri" w:eastAsia="Calibri" w:hAnsi="Calibri" w:cs="Times New Roman"/>
    </w:rPr>
  </w:style>
  <w:style w:type="paragraph" w:styleId="PargrafodaLista">
    <w:name w:val="List Paragraph"/>
    <w:basedOn w:val="Normal"/>
    <w:uiPriority w:val="34"/>
    <w:qFormat/>
    <w:rsid w:val="00D76DE2"/>
    <w:pPr>
      <w:ind w:left="720"/>
      <w:contextualSpacing/>
    </w:pPr>
  </w:style>
  <w:style w:type="paragraph" w:styleId="SemEspaamento">
    <w:name w:val="No Spacing"/>
    <w:uiPriority w:val="1"/>
    <w:qFormat/>
    <w:rsid w:val="00D76DE2"/>
    <w:pPr>
      <w:spacing w:after="0" w:line="240" w:lineRule="auto"/>
    </w:pPr>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3688</Words>
  <Characters>19920</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7</cp:revision>
  <dcterms:created xsi:type="dcterms:W3CDTF">2024-05-29T17:21:00Z</dcterms:created>
  <dcterms:modified xsi:type="dcterms:W3CDTF">2024-05-29T17:32:00Z</dcterms:modified>
</cp:coreProperties>
</file>