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C94124" w:rsidRPr="001E486A" w:rsidRDefault="00C94124" w:rsidP="001E486A">
      <w:pPr>
        <w:spacing w:line="240" w:lineRule="auto"/>
        <w:mirrorIndents/>
        <w:jc w:val="center"/>
        <w:rPr>
          <w:rFonts w:ascii="Bookman Old Style" w:hAnsi="Bookman Old Style"/>
          <w:b/>
          <w:sz w:val="23"/>
          <w:szCs w:val="23"/>
        </w:rPr>
      </w:pPr>
      <w:r w:rsidRPr="001E486A">
        <w:rPr>
          <w:rFonts w:ascii="Bookman Old Style" w:hAnsi="Bookman Old Style"/>
          <w:b/>
          <w:sz w:val="23"/>
          <w:szCs w:val="23"/>
        </w:rPr>
        <w:t xml:space="preserve">ATA DE REGISTRO DE PREÇO Nº </w:t>
      </w:r>
      <w:r w:rsidRPr="001E486A">
        <w:rPr>
          <w:rFonts w:ascii="Bookman Old Style" w:hAnsi="Bookman Old Style"/>
          <w:b/>
          <w:sz w:val="23"/>
          <w:szCs w:val="23"/>
        </w:rPr>
        <w:t>98</w:t>
      </w:r>
      <w:r w:rsidRPr="001E486A">
        <w:rPr>
          <w:rFonts w:ascii="Bookman Old Style" w:hAnsi="Bookman Old Style"/>
          <w:b/>
          <w:sz w:val="23"/>
          <w:szCs w:val="23"/>
        </w:rPr>
        <w:t>/2023</w:t>
      </w:r>
    </w:p>
    <w:p w:rsidR="00C94124" w:rsidRPr="001E486A" w:rsidRDefault="00C94124" w:rsidP="00C94124">
      <w:pPr>
        <w:spacing w:line="240" w:lineRule="auto"/>
        <w:contextualSpacing/>
        <w:mirrorIndents/>
        <w:rPr>
          <w:rFonts w:ascii="Bookman Old Style" w:hAnsi="Bookman Old Style"/>
          <w:b/>
          <w:sz w:val="23"/>
          <w:szCs w:val="23"/>
        </w:rPr>
      </w:pPr>
      <w:r w:rsidRPr="001E486A">
        <w:rPr>
          <w:rFonts w:ascii="Bookman Old Style" w:hAnsi="Bookman Old Style"/>
          <w:b/>
          <w:sz w:val="23"/>
          <w:szCs w:val="23"/>
        </w:rPr>
        <w:t>PROCESSO LICITATÓRIO Nº 99/2023</w:t>
      </w:r>
    </w:p>
    <w:p w:rsidR="00C94124" w:rsidRPr="001E486A" w:rsidRDefault="00C94124" w:rsidP="00C94124">
      <w:pPr>
        <w:spacing w:line="240" w:lineRule="auto"/>
        <w:contextualSpacing/>
        <w:mirrorIndents/>
        <w:rPr>
          <w:rFonts w:ascii="Bookman Old Style" w:hAnsi="Bookman Old Style"/>
          <w:b/>
          <w:sz w:val="23"/>
          <w:szCs w:val="23"/>
        </w:rPr>
      </w:pPr>
      <w:r w:rsidRPr="001E486A">
        <w:rPr>
          <w:rFonts w:ascii="Bookman Old Style" w:hAnsi="Bookman Old Style"/>
          <w:b/>
          <w:sz w:val="23"/>
          <w:szCs w:val="23"/>
        </w:rPr>
        <w:t>EDITAL DE PREGÃO ELETRÔNICO Nº 57/2023</w:t>
      </w:r>
    </w:p>
    <w:p w:rsidR="00C94124" w:rsidRPr="001E486A" w:rsidRDefault="00C94124" w:rsidP="00C94124">
      <w:pPr>
        <w:spacing w:line="240" w:lineRule="auto"/>
        <w:mirrorIndents/>
        <w:jc w:val="center"/>
        <w:rPr>
          <w:rFonts w:ascii="Bookman Old Style" w:hAnsi="Bookman Old Style"/>
          <w:b/>
          <w:sz w:val="23"/>
          <w:szCs w:val="23"/>
        </w:rPr>
      </w:pPr>
      <w:r w:rsidRPr="001E486A">
        <w:rPr>
          <w:rFonts w:ascii="Bookman Old Style" w:hAnsi="Bookman Old Style"/>
          <w:b/>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b/>
          <w:sz w:val="23"/>
          <w:szCs w:val="23"/>
        </w:rPr>
        <w:t>O MUNICÍPIO DE CORDILHEIRA ALTA</w:t>
      </w:r>
      <w:r w:rsidRPr="001E486A">
        <w:rPr>
          <w:rFonts w:ascii="Bookman Old Style" w:hAnsi="Bookman Old Style"/>
          <w:sz w:val="23"/>
          <w:szCs w:val="23"/>
        </w:rPr>
        <w:t xml:space="preserve">, pessoa jurídica de direito público interno, inscrito no CNPJ sob n° 95.990.198/0001-04, situado na Rua Celso </w:t>
      </w:r>
      <w:proofErr w:type="spellStart"/>
      <w:r w:rsidRPr="001E486A">
        <w:rPr>
          <w:rFonts w:ascii="Bookman Old Style" w:hAnsi="Bookman Old Style"/>
          <w:sz w:val="23"/>
          <w:szCs w:val="23"/>
        </w:rPr>
        <w:t>Tozzo</w:t>
      </w:r>
      <w:proofErr w:type="spellEnd"/>
      <w:r w:rsidRPr="001E486A">
        <w:rPr>
          <w:rFonts w:ascii="Bookman Old Style" w:hAnsi="Bookman Old Style"/>
          <w:sz w:val="23"/>
          <w:szCs w:val="23"/>
        </w:rPr>
        <w:t xml:space="preserve">, 27, Centro, Cordilheira Alta/SC, representado neste ato por seu Prefeito Municipal, senhor Clodoaldo </w:t>
      </w:r>
      <w:proofErr w:type="spellStart"/>
      <w:r w:rsidRPr="001E486A">
        <w:rPr>
          <w:rFonts w:ascii="Bookman Old Style" w:hAnsi="Bookman Old Style"/>
          <w:sz w:val="23"/>
          <w:szCs w:val="23"/>
        </w:rPr>
        <w:t>Briancini</w:t>
      </w:r>
      <w:proofErr w:type="spellEnd"/>
      <w:r w:rsidRPr="001E486A">
        <w:rPr>
          <w:rFonts w:ascii="Bookman Old Style" w:hAnsi="Bookman Old Style"/>
          <w:sz w:val="23"/>
          <w:szCs w:val="23"/>
        </w:rPr>
        <w:t xml:space="preserve"> e  a (s) empresa (s) </w:t>
      </w:r>
      <w:proofErr w:type="spellStart"/>
      <w:r w:rsidR="00B46C09" w:rsidRPr="001E486A">
        <w:rPr>
          <w:rFonts w:ascii="Bookman Old Style" w:hAnsi="Bookman Old Style"/>
          <w:sz w:val="23"/>
          <w:szCs w:val="23"/>
        </w:rPr>
        <w:t>AEGIS</w:t>
      </w:r>
      <w:proofErr w:type="spellEnd"/>
      <w:r w:rsidR="00B46C09" w:rsidRPr="001E486A">
        <w:rPr>
          <w:rFonts w:ascii="Bookman Old Style" w:hAnsi="Bookman Old Style"/>
          <w:sz w:val="23"/>
          <w:szCs w:val="23"/>
        </w:rPr>
        <w:t xml:space="preserve"> INDUSTRIA E COMERCIO DE </w:t>
      </w:r>
      <w:proofErr w:type="spellStart"/>
      <w:r w:rsidR="00B46C09" w:rsidRPr="001E486A">
        <w:rPr>
          <w:rFonts w:ascii="Bookman Old Style" w:hAnsi="Bookman Old Style"/>
          <w:sz w:val="23"/>
          <w:szCs w:val="23"/>
        </w:rPr>
        <w:t>ILUMINACAO</w:t>
      </w:r>
      <w:proofErr w:type="spellEnd"/>
      <w:r w:rsidR="00B46C09" w:rsidRPr="001E486A">
        <w:rPr>
          <w:rFonts w:ascii="Bookman Old Style" w:hAnsi="Bookman Old Style"/>
          <w:sz w:val="23"/>
          <w:szCs w:val="23"/>
        </w:rPr>
        <w:t xml:space="preserve"> LTDA</w:t>
      </w:r>
      <w:r w:rsidRPr="001E486A">
        <w:rPr>
          <w:rFonts w:ascii="Bookman Old Style" w:hAnsi="Bookman Old Style"/>
          <w:sz w:val="23"/>
          <w:szCs w:val="23"/>
        </w:rPr>
        <w:t xml:space="preserve">, inscrita no CNPJ sob nº </w:t>
      </w:r>
      <w:r w:rsidR="00B46C09" w:rsidRPr="001E486A">
        <w:rPr>
          <w:rFonts w:ascii="Bookman Old Style" w:hAnsi="Bookman Old Style"/>
          <w:sz w:val="23"/>
          <w:szCs w:val="23"/>
        </w:rPr>
        <w:t>23.350.687/0001-90</w:t>
      </w:r>
      <w:r w:rsidRPr="001E486A">
        <w:rPr>
          <w:rFonts w:ascii="Bookman Old Style" w:hAnsi="Bookman Old Style"/>
          <w:sz w:val="23"/>
          <w:szCs w:val="23"/>
        </w:rPr>
        <w:t xml:space="preserve">, com sede na </w:t>
      </w:r>
      <w:r w:rsidR="00B46C09" w:rsidRPr="001E486A">
        <w:rPr>
          <w:rFonts w:ascii="Bookman Old Style" w:hAnsi="Bookman Old Style"/>
          <w:sz w:val="23"/>
          <w:szCs w:val="23"/>
        </w:rPr>
        <w:t xml:space="preserve">R OTAVIO </w:t>
      </w:r>
      <w:proofErr w:type="spellStart"/>
      <w:r w:rsidR="00B46C09" w:rsidRPr="001E486A">
        <w:rPr>
          <w:rFonts w:ascii="Bookman Old Style" w:hAnsi="Bookman Old Style"/>
          <w:sz w:val="23"/>
          <w:szCs w:val="23"/>
        </w:rPr>
        <w:t>SCHEMES</w:t>
      </w:r>
      <w:proofErr w:type="spellEnd"/>
      <w:r w:rsidRPr="001E486A">
        <w:rPr>
          <w:rFonts w:ascii="Bookman Old Style" w:hAnsi="Bookman Old Style"/>
          <w:sz w:val="23"/>
          <w:szCs w:val="23"/>
        </w:rPr>
        <w:t>,</w:t>
      </w:r>
      <w:r w:rsidR="00B46C09" w:rsidRPr="001E486A">
        <w:rPr>
          <w:rFonts w:ascii="Bookman Old Style" w:hAnsi="Bookman Old Style"/>
          <w:sz w:val="23"/>
          <w:szCs w:val="23"/>
        </w:rPr>
        <w:t xml:space="preserve"> </w:t>
      </w:r>
      <w:proofErr w:type="spellStart"/>
      <w:r w:rsidR="00B46C09" w:rsidRPr="001E486A">
        <w:rPr>
          <w:rFonts w:ascii="Bookman Old Style" w:hAnsi="Bookman Old Style"/>
          <w:sz w:val="23"/>
          <w:szCs w:val="23"/>
        </w:rPr>
        <w:t>GRAVATAI</w:t>
      </w:r>
      <w:proofErr w:type="spellEnd"/>
      <w:r w:rsidR="00B46C09" w:rsidRPr="001E486A">
        <w:rPr>
          <w:rFonts w:ascii="Bookman Old Style" w:hAnsi="Bookman Old Style"/>
          <w:sz w:val="23"/>
          <w:szCs w:val="23"/>
        </w:rPr>
        <w:t>/RS,</w:t>
      </w:r>
      <w:r w:rsidRPr="001E486A">
        <w:rPr>
          <w:rFonts w:ascii="Bookman Old Style" w:hAnsi="Bookman Old Style"/>
          <w:sz w:val="23"/>
          <w:szCs w:val="23"/>
        </w:rPr>
        <w:t xml:space="preserve"> representada neste ato, Senhor(a) </w:t>
      </w:r>
      <w:r w:rsidR="00B46C09" w:rsidRPr="001E486A">
        <w:rPr>
          <w:rFonts w:ascii="Bookman Old Style" w:hAnsi="Bookman Old Style"/>
          <w:sz w:val="23"/>
          <w:szCs w:val="23"/>
        </w:rPr>
        <w:t xml:space="preserve">Denis </w:t>
      </w:r>
      <w:proofErr w:type="spellStart"/>
      <w:r w:rsidR="00B46C09" w:rsidRPr="001E486A">
        <w:rPr>
          <w:rFonts w:ascii="Bookman Old Style" w:hAnsi="Bookman Old Style"/>
          <w:sz w:val="23"/>
          <w:szCs w:val="23"/>
        </w:rPr>
        <w:t>Benhur</w:t>
      </w:r>
      <w:proofErr w:type="spellEnd"/>
      <w:r w:rsidR="00B46C09" w:rsidRPr="001E486A">
        <w:rPr>
          <w:rFonts w:ascii="Bookman Old Style" w:hAnsi="Bookman Old Style"/>
          <w:sz w:val="23"/>
          <w:szCs w:val="23"/>
        </w:rPr>
        <w:t xml:space="preserve"> De Freitas Nunes</w:t>
      </w:r>
      <w:r w:rsidRPr="001E486A">
        <w:rPr>
          <w:rFonts w:ascii="Bookman Old Style" w:hAnsi="Bookman Old Style"/>
          <w:sz w:val="23"/>
          <w:szCs w:val="23"/>
        </w:rPr>
        <w:t xml:space="preserve">, inscrito(a) no CPF sob nº </w:t>
      </w:r>
      <w:r w:rsidR="00B46C09" w:rsidRPr="001E486A">
        <w:rPr>
          <w:rFonts w:ascii="Bookman Old Style" w:hAnsi="Bookman Old Style"/>
          <w:sz w:val="23"/>
          <w:szCs w:val="23"/>
        </w:rPr>
        <w:t>***.925.130-**</w:t>
      </w:r>
      <w:r w:rsidRPr="001E486A">
        <w:rPr>
          <w:rFonts w:ascii="Bookman Old Style" w:hAnsi="Bookman Old Style"/>
          <w:sz w:val="23"/>
          <w:szCs w:val="23"/>
        </w:rPr>
        <w:t xml:space="preserve">, em face da classificação das propostas apresentadas, da homologação pela autoridade competente, RESOLVE Registrar os Preços para possível compra do objeto do Edital em referência, nos termos da Lei Federal nº 10.520, de 17 de julho de 2002, e subsidiariamente a Lei Federal nº 8.666, de 21 de julho de 1993 e Lei nº 8.078, de 1990 - Código de Defesa do Consumidor e das demais normas legais aplicáveis, na seguinte forma: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A empresa com preços registrados passará a ser denominada DETENTORA da Ata de Registro de Preços após a assinatura desta.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 </w:t>
      </w: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CLÁUSULA PRIMEIRA - DO OBJETO </w:t>
      </w: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1.1. A presente ata tem por objeto o </w:t>
      </w:r>
      <w:r w:rsidRPr="001E486A">
        <w:rPr>
          <w:rFonts w:ascii="Bookman Old Style" w:hAnsi="Bookman Old Style"/>
          <w:b/>
          <w:sz w:val="23"/>
          <w:szCs w:val="23"/>
        </w:rPr>
        <w:t>REGISTRO DE PREÇOS PARA</w:t>
      </w:r>
      <w:r w:rsidRPr="001E486A">
        <w:rPr>
          <w:rFonts w:ascii="Bookman Old Style" w:hAnsi="Bookman Old Style"/>
          <w:sz w:val="23"/>
          <w:szCs w:val="23"/>
        </w:rPr>
        <w:t xml:space="preserve"> </w:t>
      </w:r>
      <w:r w:rsidRPr="001E486A">
        <w:rPr>
          <w:rFonts w:ascii="Bookman Old Style" w:hAnsi="Bookman Old Style"/>
          <w:b/>
          <w:sz w:val="23"/>
          <w:szCs w:val="23"/>
        </w:rPr>
        <w:t xml:space="preserve">AQUISIÇÃO DE </w:t>
      </w:r>
      <w:r w:rsidRPr="001E486A">
        <w:rPr>
          <w:rFonts w:ascii="Bookman Old Style" w:eastAsia="Malgun Gothic Semilight" w:hAnsi="Bookman Old Style" w:cs="Cascadia Code ExtraLight"/>
          <w:b/>
          <w:sz w:val="23"/>
          <w:szCs w:val="23"/>
        </w:rPr>
        <w:t xml:space="preserve">LANTERNA TÁTICA PARA ACOPLAMENTO EM PISTOLA </w:t>
      </w:r>
      <w:proofErr w:type="spellStart"/>
      <w:r w:rsidRPr="001E486A">
        <w:rPr>
          <w:rFonts w:ascii="Bookman Old Style" w:eastAsia="Malgun Gothic Semilight" w:hAnsi="Bookman Old Style" w:cs="Cascadia Code ExtraLight"/>
          <w:b/>
          <w:sz w:val="23"/>
          <w:szCs w:val="23"/>
        </w:rPr>
        <w:t>BERETTA</w:t>
      </w:r>
      <w:proofErr w:type="spellEnd"/>
      <w:r w:rsidRPr="001E486A">
        <w:rPr>
          <w:rFonts w:ascii="Bookman Old Style" w:eastAsia="Malgun Gothic Semilight" w:hAnsi="Bookman Old Style" w:cs="Cascadia Code ExtraLight"/>
          <w:b/>
          <w:sz w:val="23"/>
          <w:szCs w:val="23"/>
        </w:rPr>
        <w:t xml:space="preserve"> </w:t>
      </w:r>
      <w:proofErr w:type="spellStart"/>
      <w:r w:rsidRPr="001E486A">
        <w:rPr>
          <w:rFonts w:ascii="Bookman Old Style" w:eastAsia="Malgun Gothic Semilight" w:hAnsi="Bookman Old Style" w:cs="Cascadia Code ExtraLight"/>
          <w:b/>
          <w:sz w:val="23"/>
          <w:szCs w:val="23"/>
        </w:rPr>
        <w:t>APX</w:t>
      </w:r>
      <w:proofErr w:type="spellEnd"/>
      <w:r w:rsidRPr="001E486A">
        <w:rPr>
          <w:rFonts w:ascii="Bookman Old Style" w:eastAsia="Malgun Gothic Semilight" w:hAnsi="Bookman Old Style" w:cs="Cascadia Code ExtraLight"/>
          <w:b/>
          <w:sz w:val="23"/>
          <w:szCs w:val="23"/>
        </w:rPr>
        <w:t xml:space="preserve"> (DE USO PARA O PATRULHAMENTO - POLÍCIA MILITAR)</w:t>
      </w:r>
      <w:r w:rsidRPr="001E486A">
        <w:rPr>
          <w:rFonts w:ascii="Bookman Old Style" w:hAnsi="Bookman Old Style" w:cs="Bookman Old Style,Bold"/>
          <w:b/>
          <w:bCs/>
          <w:sz w:val="23"/>
          <w:szCs w:val="23"/>
        </w:rPr>
        <w:t xml:space="preserve"> DO MUNICÍPIO DE CORDILHEIRA ALTA/SC</w:t>
      </w:r>
      <w:r w:rsidRPr="001E486A">
        <w:rPr>
          <w:rFonts w:ascii="Bookman Old Style" w:hAnsi="Bookman Old Style"/>
          <w:sz w:val="23"/>
          <w:szCs w:val="23"/>
        </w:rPr>
        <w:t xml:space="preserve">, conforme especificações constantes no anexo “A” do edital e proposta comercial da empresa Detentora desta Ata.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CLÁUSULA SEGUNDA - DA VALIDADE DA ATA</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2.1. A presente Ata de Registro de Preços terá validade de doze meses, a contar da data de sua assinatura.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2.2. Durante o prazo de validade desta Ata de Registro de Preços, o Município de Cordilheira Alta não será obrigado a firmar as contratações que dela poderão advir, facultando-lhe a realização de licitação específica para a aquisição pretendida, sendo assegurado ao (s) beneficiário (s) do registro preferência de fornecimento em igualdade de condições.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2.3. A Ata poderá sofrer alterações de acordo com as condições estabelecidas no artigo 65 da Lei Federal nº 8.666/1993.</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b/>
          <w:sz w:val="23"/>
          <w:szCs w:val="23"/>
        </w:rPr>
        <w:t>CLÁUSULA TERCEIRA – DOS ITENS E DOS PREÇOS</w:t>
      </w:r>
      <w:r w:rsidRPr="001E486A">
        <w:rPr>
          <w:rFonts w:ascii="Bookman Old Style" w:hAnsi="Bookman Old Style"/>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08305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sz w:val="23"/>
          <w:szCs w:val="23"/>
        </w:rPr>
        <w:t xml:space="preserve">3.1. O valor total global estimado com o presente registro de preços é de </w:t>
      </w:r>
      <w:r w:rsidRPr="0008305A">
        <w:rPr>
          <w:rFonts w:ascii="Bookman Old Style" w:hAnsi="Bookman Old Style"/>
          <w:b/>
          <w:sz w:val="23"/>
          <w:szCs w:val="23"/>
        </w:rPr>
        <w:t xml:space="preserve">R$ </w:t>
      </w:r>
      <w:r w:rsidR="0008305A" w:rsidRPr="0008305A">
        <w:rPr>
          <w:rFonts w:ascii="Bookman Old Style" w:hAnsi="Bookman Old Style"/>
          <w:b/>
          <w:sz w:val="23"/>
          <w:szCs w:val="23"/>
        </w:rPr>
        <w:t>2.154,00</w:t>
      </w:r>
      <w:r w:rsidRPr="0008305A">
        <w:rPr>
          <w:rFonts w:ascii="Bookman Old Style" w:hAnsi="Bookman Old Style"/>
          <w:b/>
          <w:sz w:val="23"/>
          <w:szCs w:val="23"/>
        </w:rPr>
        <w:t xml:space="preserve"> (</w:t>
      </w:r>
      <w:r w:rsidR="0008305A" w:rsidRPr="0008305A">
        <w:rPr>
          <w:rFonts w:ascii="Bookman Old Style" w:hAnsi="Bookman Old Style"/>
          <w:b/>
          <w:sz w:val="23"/>
          <w:szCs w:val="23"/>
        </w:rPr>
        <w:t>Dois mil cento e cinquenta e quatro reais</w:t>
      </w:r>
      <w:r w:rsidRPr="0008305A">
        <w:rPr>
          <w:rFonts w:ascii="Bookman Old Style" w:hAnsi="Bookman Old Style"/>
          <w:b/>
          <w:sz w:val="23"/>
          <w:szCs w:val="23"/>
        </w:rPr>
        <w:t>).</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3.1.1. O (s) preço (s) ofertado (s) pela empresa DETENTORA da presente Ata de Registro de Preços e que será pago na possível aquisição dos produtos é o especificado no anexo deste termo.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3.1.1.1. Os preços descritos no termo de adjudicação serão pagos na possível aquisição dos produtos.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3.2. Em cada fornecimento decorrente desta Ata, serão observadas, quanto ao preço, as cláusulas e condições constantes do Edital referente à mesma.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lastRenderedPageBreak/>
        <w:t xml:space="preserve">3.3. Os itens deverão ser entregues de acordo com a descrição constante no anexo “A” do edital e da proposta comercial da DETENTORA.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3.4. Aplica-se nesta contratação, resultante da Ata de Registro de Preços a aplicação da IN </w:t>
      </w:r>
      <w:proofErr w:type="spellStart"/>
      <w:r w:rsidRPr="001E486A">
        <w:rPr>
          <w:rFonts w:ascii="Bookman Old Style" w:hAnsi="Bookman Old Style"/>
          <w:sz w:val="23"/>
          <w:szCs w:val="23"/>
        </w:rPr>
        <w:t>RFB</w:t>
      </w:r>
      <w:proofErr w:type="spellEnd"/>
      <w:r w:rsidRPr="001E486A">
        <w:rPr>
          <w:rFonts w:ascii="Bookman Old Style" w:hAnsi="Bookman Old Style"/>
          <w:sz w:val="23"/>
          <w:szCs w:val="23"/>
        </w:rPr>
        <w:t xml:space="preserve"> nº 1.234/2012, bem como o Decreto Municipal 193/2023, que dispõe sobre a IRRF nas contratações de bens e serviços pela Administração do Município de Cordilheira Alta/SC.</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CLÁUSULA QUARTA - DO LOCAL E PRAZO DE ENTREGA</w:t>
      </w: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4.1 - O prazo de entrega do objeto é de até 20 (vinte) dias após a autorização de fornecimento (</w:t>
      </w:r>
      <w:proofErr w:type="spellStart"/>
      <w:r w:rsidRPr="001E486A">
        <w:rPr>
          <w:rFonts w:ascii="Bookman Old Style" w:hAnsi="Bookman Old Style"/>
          <w:sz w:val="23"/>
          <w:szCs w:val="23"/>
        </w:rPr>
        <w:t>AF</w:t>
      </w:r>
      <w:proofErr w:type="spellEnd"/>
      <w:r w:rsidRPr="001E486A">
        <w:rPr>
          <w:rFonts w:ascii="Bookman Old Style" w:hAnsi="Bookman Old Style"/>
          <w:sz w:val="23"/>
          <w:szCs w:val="23"/>
        </w:rPr>
        <w:t>);</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4.1.1 – O material deverá ser entregue de acordo com o objeto licitado e a quantidade solicitada na </w:t>
      </w:r>
      <w:proofErr w:type="spellStart"/>
      <w:r w:rsidRPr="001E486A">
        <w:rPr>
          <w:rFonts w:ascii="Bookman Old Style" w:hAnsi="Bookman Old Style"/>
          <w:sz w:val="23"/>
          <w:szCs w:val="23"/>
        </w:rPr>
        <w:t>AF</w:t>
      </w:r>
      <w:proofErr w:type="spellEnd"/>
      <w:r w:rsidRPr="001E486A">
        <w:rPr>
          <w:rFonts w:ascii="Bookman Old Style" w:hAnsi="Bookman Old Style"/>
          <w:sz w:val="23"/>
          <w:szCs w:val="23"/>
        </w:rPr>
        <w:t>.</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4.2 - Os bens serão recebidos provisoriamente no prazo de 5 (cinco) dias, pelo (a) responsável ao acompanhamento e fiscalização do contrato, para efeito de posterior verificação de sua conformidade com as especificações constantes neste Termo de Referência e na proposta;</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4.3 - Os bens poderão ser rejeitados, no todo ou em parte, quando em desacordo com as especificações constantes neste Termo de Referência e na proposta, devendo ser substituídos no prazo de 3 (três) dias, a contar da notificação da contratada, às suas custas, sem prejuízo da aplicação das penalidades;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4.4 - Os bens serão recebidos definitivamente no prazo de 5 (cinco) dias, contados do recebimento provisório, após a verificação da qualidade e quantidade do material e consequente aceitação mediante termo circunstanciado;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4.5 - Na hipótese de a verificação a que se refere o subitem anterior não ser procedida dentro do prazo fixado, reputar-se-á como realizada, consumando-se o recebimento definitivo no dia do esgotamento do prazo.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4.6 - O recebimento provisório ou definitivo do objeto não exclui a responsabilidade da contratada pelos prejuízos resultantes da incorreta execução do contrato;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4.7 - Deverá ser disponibilizado manual de instruções em idioma português;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4.8 – A aquisição compreende um montante de até 06 (seis) unidades.</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CLÁUSULA QUINTA – DO PAGAMENTO </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5.1. O Município de Cordilheira Alta efetuará o pagamento, conforme solicitação, no prazo de até 30 dias após a entrega do objeto, mediante apresentação das notas fiscais, devidamente atestadas pelos servidores responsáveis pelo recebimento.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5.2. O pagamento será efetuado mediante depósito bancário em conta corrente de titularidade da licitante vencedora.</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5.2.1. Cópia das notas deverão ser encaminhadas pela empresa para o e-mail: </w:t>
      </w:r>
      <w:proofErr w:type="spellStart"/>
      <w:r w:rsidRPr="001E486A">
        <w:rPr>
          <w:rFonts w:ascii="Bookman Old Style" w:hAnsi="Bookman Old Style"/>
          <w:sz w:val="23"/>
          <w:szCs w:val="23"/>
        </w:rPr>
        <w:t>empenhos@pmcordi.sc.gov.br</w:t>
      </w:r>
      <w:proofErr w:type="spellEnd"/>
      <w:r w:rsidRPr="001E486A">
        <w:rPr>
          <w:rFonts w:ascii="Bookman Old Style" w:hAnsi="Bookman Old Style"/>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5.3.</w:t>
      </w:r>
      <w:r w:rsidRPr="001E486A">
        <w:rPr>
          <w:rFonts w:ascii="Bookman Old Style" w:hAnsi="Bookman Old Style"/>
          <w:b/>
          <w:sz w:val="23"/>
          <w:szCs w:val="23"/>
        </w:rPr>
        <w:t xml:space="preserve"> </w:t>
      </w:r>
      <w:r w:rsidRPr="001E486A">
        <w:rPr>
          <w:rFonts w:ascii="Bookman Old Style" w:hAnsi="Bookman Old Style"/>
          <w:sz w:val="23"/>
          <w:szCs w:val="23"/>
        </w:rPr>
        <w:t xml:space="preserve">As despesas decorrentes do objeto deste edital correrão a cargo da dotação: (As despesas decorrentes do objeto deste edital correrão a cargo da dotação: (Projeto Atividade 2.004 – Elemento 3.3.90 – Despesa 22 (7004 e 1500), previstas na Lei Orçamentária do Exercício de 2023.)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CLÁUSULA SEXTA - DOS REAJUSTES  </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6.1. Os preços expressos nesse contrato serão fixos e irreajustáveis, exceto nas hipóteses devidamente comprovadas, de ocorrência de situação prevista na alínea “d” </w:t>
      </w:r>
      <w:r w:rsidRPr="001E486A">
        <w:rPr>
          <w:rFonts w:ascii="Bookman Old Style" w:hAnsi="Bookman Old Style"/>
          <w:sz w:val="23"/>
          <w:szCs w:val="23"/>
        </w:rPr>
        <w:lastRenderedPageBreak/>
        <w:t xml:space="preserve">do inciso II do artigo 65 da Lei Federal nº 8666/1993 ou de redução dos preços praticados no mercado.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CLÁUSULA SÉTIMA – DA GARANTIA </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7.1– A contratada deverá fornecer garantia de qualidade e excelente estado dos materiais entregues conforme termo de referência.</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CLÁUSULA OITAVA – DAS PENALIDADES</w:t>
      </w: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 A recusa imotivada do adjudicatário em assinar o Instrumento Contratual no prazo assinalado neste edital sujeitá-lo-á à multa de 20% (vinte por cento) sobre o valor total do contrato, contada a partir do primeiro dia após ter expirado o prazo que teria para assinar o contrato, nos termos do item 15.1 do edital.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8.2. Entende-se por valor total do contrato o montante dos preços totais finais oferecidos pela licitante após a etapa de lances, considerando os itens do objeto que lhe tenham sido adjudicados.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8.3. A penalidade de multa, prevista no item 8.1, poderá ser aplicada, cumulativamente, com as penalidades dispostas na Lei nº 10.520/2002, conforme o art. 7, do mesmo diploma legal.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8.4. A Administração Municipal de Cordilheira Alta poderá deixar de aplicar as penalidades previstas nesta cláusula, se admitida às justificativas apresentadas pela licitante vencedora, nos termos do que dispõe o artigo 43, parágrafo 6º c/c artigo 81, e artigo 87, “caput”, da Lei nº 8.666/1993.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8.5. Sem prejuízo das sanções previstas nos artigos. 86 e 87 da Lei 8.666/1993, a empresa contratada ficará sujeita às seguintes penalidades, assegurada a prévia defesa: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8.6. Pelo atraso injustificado na execução do contrato, sujeita-se a CONTRATADA à penalidade de multa de 0,33% (trinta e três centésimos por cento) sobre o valor total da obrigação não cumprida, por dia de atraso, limitada ao total de 20% (vinte por cento).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8.7. Pela inexecução total ou parcial do Contrato, a CONTRATANTE poderá garantida a prévia defesa, aplicar à CONTRATADA as sanções previstas no artigo 7º da Lei Federal nº 10.520/2002 e Lei Federal 8.666/1999, multa de 20% (vinte por cento), calculada sobre o valor do Contrato ou da parte não cumprida.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8.8. Multa correspondente à diferença de preço resultante de nova licitação realizada para complementação ou realização da obrigação não cumprida.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8.9. O valor a servir de base para o cálculo das multas referidas nos subitens 8.6 e 8.7 será o valor inicial do Contrato.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8.10. As multas aqui previstas não têm caráter compensatório, porém moratório e, consequentemente, o pagamento delas não exime a empresa contratada da reparação dos eventuais danos, perdas ou prejuízos que seu ato punível venha acarretar à Prefeitura Municipal de Cordilheira Alta.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8.10.1. O valor da multa será deduzido dos créditos ou garantias da empresa, ou cobrado administrativa ou judicialmente;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8.10.2. Sempre que a multa ultrapassar os créditos da contratada e/ou garantias, o valor excedente será encaminhado à cobrança extrajudicial ou judicial;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8.10.3. O atraso, para efeito de cálculo de multa, será contado em dias corridos, a partir do dia seguinte ao do vencimento do prazo de entrega ou execução do serviço;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8.11. Sem prejuízo das penalidades de multa, fica a contratada que não cumprir as cláusulas contratuais, sujeitas ainda: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lastRenderedPageBreak/>
        <w:t xml:space="preserve">8.11.1. Suspensão temporária de participação em licitação e impedimento de contratar com a Administração, por prazo não superior a dois anos.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8.11.2.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 e após decorrido o prazo da sanção aplicada com base no inciso anterior.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CLÁUSULA NONA - DAS OBRIGAÇÕES</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9.1 - São obrigações da Contratante:</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9.1.1 - Receber o objeto no prazo e condições estabelecidas no Edital e seus anexos;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9.1.2 - Verificar minuciosamente, no prazo fixado, a conformidade dos bens recebidos provisoriamente com as especificações constantes do Edital e da proposta, para fins de aceitação e recebimento definitivo;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9.1.3 - Comunicar à Contratada, por escrito, sobre imperfeições, falhas ou irregularidades verificadas no objeto fornecido, para que seja substituído, reparado ou corrigido;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9.1.4 - Acompanhar e fiscalizar o cumprimento das obrigações da Contratada, através de comissão/servidor especialmente designado;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9.1.5 - Efetuar o pagamento à Contratada no valor correspondente ao fornecimento do objeto, no prazo e forma estabelecidos no Edital e seus anexos;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9.1.6 - A Administração não responderá por quaisquer compromissos assumidos pela Contratada com terceiros, ainda que vinculados à execução do presente Termo de Contrato, bem como por qualquer dano causado a terceiros em decorrência de ato da Contratada, de seus empregados, prepostos ou subordinados.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9.1.7 - A Administração realizará pesquisa de preços periodicamente, em prazo não superior a 180 (cento e oitenta) dias, a fim de verificar a </w:t>
      </w:r>
      <w:proofErr w:type="spellStart"/>
      <w:r w:rsidRPr="001E486A">
        <w:rPr>
          <w:rFonts w:ascii="Bookman Old Style" w:hAnsi="Bookman Old Style"/>
          <w:sz w:val="23"/>
          <w:szCs w:val="23"/>
        </w:rPr>
        <w:t>vantajosidade</w:t>
      </w:r>
      <w:proofErr w:type="spellEnd"/>
      <w:r w:rsidRPr="001E486A">
        <w:rPr>
          <w:rFonts w:ascii="Bookman Old Style" w:hAnsi="Bookman Old Style"/>
          <w:sz w:val="23"/>
          <w:szCs w:val="23"/>
        </w:rPr>
        <w:t xml:space="preserve"> dos preços registrados em Ata.</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9.2 - OBRIGAÇÕES DA CONTRATADA</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9.2.1 - A Contratada deve cumprir todas as obrigações constantes no Edital, seus anexos e sua proposta, assumindo como exclusivamente seus os riscos e as despesas decorrentes da boa e perfeita execução do objeto e, ainda:</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9.2.2 - Efetuar a entrega do objeto em perfeitas condições, conforme especificações, prazo e local constantes no Edital e seus anexos, acompanhado da respectiva nota fiscal.</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9.2.3 - Responsabilizar-se pelos vícios e danos decorrentes do objeto, de acordo com os artigos 12, 13 e 17 a 27, do Código de Defesa do Consumidor (Lei nº 8.078, de 1990);</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9.2.4 - Substituir, reparar ou corrigir, às suas expensas, no prazo fixado neste Termo de Referência, o objeto com avarias ou defeitos;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9.2.5 - Comunicar à Contratante, no prazo mínimo de 30 (trinta) minutos que antecede a data da entrega, os motivos que impossibilitem o cumprimento do prazo previsto, com a devida comprovação;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9.2.6 - Manter, durante toda a execução do contrato, em compatibilidade com as obrigações assumidas, todas as condições de habilitação e qualificação exigidas na licitação;</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9.2.7 - Indicar preposto para representá-la durante a execução do contrato. </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CLÁUSULA DÉCIMA – CONTROLE DA EXECUÇÃO</w:t>
      </w:r>
    </w:p>
    <w:p w:rsidR="00C94124" w:rsidRPr="001E486A" w:rsidRDefault="00C94124" w:rsidP="00C94124">
      <w:pPr>
        <w:spacing w:after="0" w:line="20" w:lineRule="atLeast"/>
        <w:mirrorIndents/>
        <w:jc w:val="both"/>
        <w:rPr>
          <w:rFonts w:ascii="Bookman Old Style" w:hAnsi="Bookman Old Style"/>
          <w:b/>
          <w:sz w:val="23"/>
          <w:szCs w:val="23"/>
        </w:rPr>
      </w:pP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10.1 - Nos termos do art. 67 Lei nº 8.666, de 1993, será designado representante para acompanhar e fiscalizar a entrega dos bens, anotando em registro próprio todas as ocorrências relacionadas com a execução e determinando o que for necessário à regularização de falhas ou defeitos observados.</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10.1.1 - A execução do contrato será acompanhada e fiscalizada </w:t>
      </w:r>
      <w:r w:rsidRPr="001E486A">
        <w:rPr>
          <w:rFonts w:ascii="Bookman Old Style" w:hAnsi="Bookman Old Style"/>
          <w:sz w:val="23"/>
          <w:szCs w:val="23"/>
          <w:lang w:eastAsia="zh-CN"/>
        </w:rPr>
        <w:t>pelo Secretário:</w:t>
      </w:r>
      <w:r w:rsidRPr="001E486A">
        <w:rPr>
          <w:rFonts w:ascii="Bookman Old Style" w:hAnsi="Bookman Old Style"/>
          <w:color w:val="FF0000"/>
          <w:sz w:val="23"/>
          <w:szCs w:val="23"/>
          <w:lang w:eastAsia="zh-CN"/>
        </w:rPr>
        <w:t xml:space="preserve"> Rudimar Marafon, matrícula n° 13730/01, </w:t>
      </w:r>
      <w:r w:rsidRPr="001E486A">
        <w:rPr>
          <w:rFonts w:ascii="Bookman Old Style" w:hAnsi="Bookman Old Style"/>
          <w:sz w:val="23"/>
          <w:szCs w:val="23"/>
        </w:rPr>
        <w:t>que atuara como representante institucional nos termos do artigo 67 da Lei 8666/93.</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10.2 - A fiscalização de que trata este item não exclui nem reduz a responsabilidade da Contratada, inclusive perante terceiros, por qualquer irregularidade, ainda que resultante de imperfeições técnicas ou vícios redibitórios, e, na ocorrência desta, não implica em </w:t>
      </w:r>
      <w:proofErr w:type="spellStart"/>
      <w:r w:rsidRPr="001E486A">
        <w:rPr>
          <w:rFonts w:ascii="Bookman Old Style" w:hAnsi="Bookman Old Style"/>
          <w:sz w:val="23"/>
          <w:szCs w:val="23"/>
        </w:rPr>
        <w:t>co-responsabilidade</w:t>
      </w:r>
      <w:proofErr w:type="spellEnd"/>
      <w:r w:rsidRPr="001E486A">
        <w:rPr>
          <w:rFonts w:ascii="Bookman Old Style" w:hAnsi="Bookman Old Style"/>
          <w:sz w:val="23"/>
          <w:szCs w:val="23"/>
        </w:rPr>
        <w:t xml:space="preserve"> da Administração ou de seus agentes e prepostos, de conformidade com o art. 70 da Lei nº 8.666, de 1993.</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10.3 - O representante da Administração anotará em registro próprio todas as ocorrências relacionadas com a execução do contrato, indicando dia, mês e ano, bem como o nome dos funcionários eventualmente envolvidos, determinando o que for necessário à regularização das falhas ou defeitos observados e encaminhando os apontamentos à autoridade competente para as providências cabíveis.</w:t>
      </w:r>
    </w:p>
    <w:p w:rsidR="00C94124" w:rsidRPr="001E486A" w:rsidRDefault="00C94124" w:rsidP="00C94124">
      <w:pPr>
        <w:spacing w:after="0" w:line="20" w:lineRule="atLeast"/>
        <w:mirrorIndents/>
        <w:jc w:val="both"/>
        <w:rPr>
          <w:rFonts w:ascii="Bookman Old Style" w:hAnsi="Bookman Old Style"/>
          <w:sz w:val="23"/>
          <w:szCs w:val="23"/>
        </w:rPr>
      </w:pP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CLÁUSULA DÉCIMA PRIMEIRA - DAS DISPOSIÇÕES FINAIS E DO FORO </w:t>
      </w:r>
    </w:p>
    <w:p w:rsidR="00C94124" w:rsidRPr="001E486A" w:rsidRDefault="00C94124" w:rsidP="00C94124">
      <w:pPr>
        <w:spacing w:after="0" w:line="20" w:lineRule="atLeast"/>
        <w:mirrorIndents/>
        <w:jc w:val="both"/>
        <w:rPr>
          <w:rFonts w:ascii="Bookman Old Style" w:hAnsi="Bookman Old Style"/>
          <w:b/>
          <w:sz w:val="23"/>
          <w:szCs w:val="23"/>
        </w:rPr>
      </w:pPr>
      <w:r w:rsidRPr="001E486A">
        <w:rPr>
          <w:rFonts w:ascii="Bookman Old Style" w:hAnsi="Bookman Old Style"/>
          <w:b/>
          <w:sz w:val="23"/>
          <w:szCs w:val="23"/>
        </w:rPr>
        <w:t xml:space="preserve">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11.1. Integram está Ata, o edital do Pregão para Registro de Preço nº </w:t>
      </w:r>
      <w:r w:rsidR="001E486A" w:rsidRPr="001E486A">
        <w:rPr>
          <w:rFonts w:ascii="Bookman Old Style" w:hAnsi="Bookman Old Style"/>
          <w:sz w:val="23"/>
          <w:szCs w:val="23"/>
        </w:rPr>
        <w:t>57</w:t>
      </w:r>
      <w:r w:rsidRPr="001E486A">
        <w:rPr>
          <w:rFonts w:ascii="Bookman Old Style" w:hAnsi="Bookman Old Style"/>
          <w:sz w:val="23"/>
          <w:szCs w:val="23"/>
        </w:rPr>
        <w:t xml:space="preserve">/2023 e a proposta da empresa acima relacionada.  </w:t>
      </w:r>
    </w:p>
    <w:p w:rsidR="00C94124" w:rsidRPr="001E486A" w:rsidRDefault="00C94124" w:rsidP="00C94124">
      <w:pPr>
        <w:spacing w:after="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11.2. Os casos omissos serão resolvidos à luz das disposições contidas na Lei Federal nº 10.520, de 17 de julho de 2002, e subsidiariamente a Lei Federal nº 8.666, de 21 de julho de 1993, e, se for o caso, conforme disposições da Lei Federal nº 8.078/90 (Código de Defesa do Consumidor), Código Civil e legislações pertinentes à matéria. </w:t>
      </w:r>
    </w:p>
    <w:p w:rsidR="00C94124" w:rsidRPr="001E486A" w:rsidRDefault="00C94124" w:rsidP="001E486A">
      <w:pPr>
        <w:spacing w:after="240" w:line="20" w:lineRule="atLeast"/>
        <w:mirrorIndents/>
        <w:jc w:val="both"/>
        <w:rPr>
          <w:rFonts w:ascii="Bookman Old Style" w:hAnsi="Bookman Old Style"/>
          <w:sz w:val="23"/>
          <w:szCs w:val="23"/>
        </w:rPr>
      </w:pPr>
      <w:r w:rsidRPr="001E486A">
        <w:rPr>
          <w:rFonts w:ascii="Bookman Old Style" w:hAnsi="Bookman Old Style"/>
          <w:sz w:val="23"/>
          <w:szCs w:val="23"/>
        </w:rPr>
        <w:t xml:space="preserve">11.3. Fica eleito o Foro da Comarca de Chapecó - SC para dirimir quaisquer questões decorrentes da utilização da presente ata.  </w:t>
      </w:r>
    </w:p>
    <w:p w:rsidR="00C94124" w:rsidRPr="001E486A" w:rsidRDefault="00C94124" w:rsidP="001E486A">
      <w:pPr>
        <w:spacing w:line="240" w:lineRule="auto"/>
        <w:contextualSpacing/>
        <w:mirrorIndents/>
        <w:jc w:val="right"/>
        <w:rPr>
          <w:rFonts w:ascii="Bookman Old Style" w:hAnsi="Bookman Old Style"/>
          <w:sz w:val="23"/>
          <w:szCs w:val="23"/>
        </w:rPr>
      </w:pPr>
      <w:r w:rsidRPr="001E486A">
        <w:rPr>
          <w:rFonts w:ascii="Bookman Old Style" w:hAnsi="Bookman Old Style"/>
          <w:sz w:val="23"/>
          <w:szCs w:val="23"/>
        </w:rPr>
        <w:t xml:space="preserve">Cordilheira Alta, SC, </w:t>
      </w:r>
      <w:r w:rsidR="001E486A" w:rsidRPr="001E486A">
        <w:rPr>
          <w:rFonts w:ascii="Bookman Old Style" w:hAnsi="Bookman Old Style"/>
          <w:sz w:val="23"/>
          <w:szCs w:val="23"/>
        </w:rPr>
        <w:t>04</w:t>
      </w:r>
      <w:r w:rsidRPr="001E486A">
        <w:rPr>
          <w:rFonts w:ascii="Bookman Old Style" w:hAnsi="Bookman Old Style"/>
          <w:sz w:val="23"/>
          <w:szCs w:val="23"/>
        </w:rPr>
        <w:t xml:space="preserve"> de </w:t>
      </w:r>
      <w:r w:rsidR="001E486A" w:rsidRPr="001E486A">
        <w:rPr>
          <w:rFonts w:ascii="Bookman Old Style" w:hAnsi="Bookman Old Style"/>
          <w:sz w:val="23"/>
          <w:szCs w:val="23"/>
        </w:rPr>
        <w:t>outubro</w:t>
      </w:r>
      <w:r w:rsidRPr="001E486A">
        <w:rPr>
          <w:rFonts w:ascii="Bookman Old Style" w:hAnsi="Bookman Old Style"/>
          <w:sz w:val="23"/>
          <w:szCs w:val="23"/>
        </w:rPr>
        <w:t xml:space="preserve"> de 2023.</w:t>
      </w:r>
    </w:p>
    <w:p w:rsidR="00C94124" w:rsidRPr="001E486A" w:rsidRDefault="00C94124" w:rsidP="00C94124">
      <w:pPr>
        <w:spacing w:line="240" w:lineRule="auto"/>
        <w:contextualSpacing/>
        <w:mirrorIndents/>
        <w:jc w:val="both"/>
        <w:rPr>
          <w:rFonts w:ascii="Bookman Old Style" w:hAnsi="Bookman Old Style"/>
          <w:sz w:val="23"/>
          <w:szCs w:val="23"/>
        </w:rPr>
      </w:pPr>
    </w:p>
    <w:p w:rsidR="00C94124" w:rsidRPr="001E486A" w:rsidRDefault="00C94124" w:rsidP="00C94124">
      <w:pPr>
        <w:spacing w:line="240" w:lineRule="auto"/>
        <w:contextualSpacing/>
        <w:mirrorIndents/>
        <w:jc w:val="both"/>
        <w:rPr>
          <w:rFonts w:ascii="Bookman Old Style" w:hAnsi="Bookman Old Style"/>
          <w:sz w:val="23"/>
          <w:szCs w:val="23"/>
        </w:rPr>
      </w:pPr>
    </w:p>
    <w:p w:rsidR="00C94124" w:rsidRPr="001E486A" w:rsidRDefault="00C94124" w:rsidP="00C94124">
      <w:pPr>
        <w:spacing w:line="240" w:lineRule="auto"/>
        <w:contextualSpacing/>
        <w:mirrorIndents/>
        <w:jc w:val="both"/>
        <w:rPr>
          <w:rFonts w:ascii="Bookman Old Style" w:hAnsi="Bookman Old Style"/>
          <w:sz w:val="23"/>
          <w:szCs w:val="23"/>
        </w:rPr>
      </w:pPr>
    </w:p>
    <w:p w:rsidR="00C94124" w:rsidRPr="001E486A" w:rsidRDefault="00C94124"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________________________________</w:t>
      </w:r>
    </w:p>
    <w:p w:rsidR="00C94124" w:rsidRPr="001E486A" w:rsidRDefault="00C94124"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 xml:space="preserve">CLODOALDO </w:t>
      </w:r>
      <w:proofErr w:type="spellStart"/>
      <w:r w:rsidRPr="001E486A">
        <w:rPr>
          <w:rFonts w:ascii="Bookman Old Style" w:hAnsi="Bookman Old Style"/>
          <w:sz w:val="23"/>
          <w:szCs w:val="23"/>
        </w:rPr>
        <w:t>BRIANCINI</w:t>
      </w:r>
      <w:proofErr w:type="spellEnd"/>
    </w:p>
    <w:p w:rsidR="00C94124" w:rsidRPr="001E486A" w:rsidRDefault="00C94124"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Prefeito Municipal</w:t>
      </w:r>
    </w:p>
    <w:p w:rsidR="00C94124" w:rsidRPr="001E486A" w:rsidRDefault="00C94124" w:rsidP="00C94124">
      <w:pPr>
        <w:spacing w:line="240" w:lineRule="auto"/>
        <w:contextualSpacing/>
        <w:mirrorIndents/>
        <w:jc w:val="center"/>
        <w:rPr>
          <w:rFonts w:ascii="Bookman Old Style" w:hAnsi="Bookman Old Style"/>
          <w:sz w:val="23"/>
          <w:szCs w:val="23"/>
        </w:rPr>
      </w:pPr>
    </w:p>
    <w:p w:rsidR="00C94124" w:rsidRPr="001E486A" w:rsidRDefault="00C94124" w:rsidP="00C94124">
      <w:pPr>
        <w:spacing w:line="240" w:lineRule="auto"/>
        <w:contextualSpacing/>
        <w:mirrorIndents/>
        <w:rPr>
          <w:rFonts w:ascii="Bookman Old Style" w:hAnsi="Bookman Old Style"/>
          <w:sz w:val="23"/>
          <w:szCs w:val="23"/>
        </w:rPr>
      </w:pPr>
    </w:p>
    <w:p w:rsidR="00C94124" w:rsidRPr="001E486A" w:rsidRDefault="00C94124"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_________________________</w:t>
      </w:r>
    </w:p>
    <w:p w:rsidR="001E486A" w:rsidRPr="001E486A" w:rsidRDefault="001E486A" w:rsidP="00C94124">
      <w:pPr>
        <w:spacing w:line="240" w:lineRule="auto"/>
        <w:contextualSpacing/>
        <w:mirrorIndents/>
        <w:jc w:val="center"/>
        <w:rPr>
          <w:rFonts w:ascii="Bookman Old Style" w:hAnsi="Bookman Old Style"/>
          <w:sz w:val="23"/>
          <w:szCs w:val="23"/>
        </w:rPr>
      </w:pPr>
      <w:proofErr w:type="spellStart"/>
      <w:r w:rsidRPr="001E486A">
        <w:rPr>
          <w:rFonts w:ascii="Bookman Old Style" w:hAnsi="Bookman Old Style"/>
          <w:sz w:val="23"/>
          <w:szCs w:val="23"/>
        </w:rPr>
        <w:t>AEGIS</w:t>
      </w:r>
      <w:proofErr w:type="spellEnd"/>
      <w:r w:rsidRPr="001E486A">
        <w:rPr>
          <w:rFonts w:ascii="Bookman Old Style" w:hAnsi="Bookman Old Style"/>
          <w:sz w:val="23"/>
          <w:szCs w:val="23"/>
        </w:rPr>
        <w:t xml:space="preserve"> INDUSTRIA E COMERCIO DE </w:t>
      </w:r>
      <w:r w:rsidRPr="001E486A">
        <w:rPr>
          <w:rFonts w:ascii="Bookman Old Style" w:hAnsi="Bookman Old Style"/>
          <w:sz w:val="23"/>
          <w:szCs w:val="23"/>
        </w:rPr>
        <w:t>ILUMINAÇÃO</w:t>
      </w:r>
      <w:r w:rsidRPr="001E486A">
        <w:rPr>
          <w:rFonts w:ascii="Bookman Old Style" w:hAnsi="Bookman Old Style"/>
          <w:sz w:val="23"/>
          <w:szCs w:val="23"/>
        </w:rPr>
        <w:t xml:space="preserve"> LTDA </w:t>
      </w:r>
    </w:p>
    <w:p w:rsidR="001E486A" w:rsidRPr="001E486A" w:rsidRDefault="001E486A"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CNPJ sob nº 23.350.687/0001-90</w:t>
      </w:r>
    </w:p>
    <w:p w:rsidR="001E486A" w:rsidRPr="001E486A" w:rsidRDefault="001E486A" w:rsidP="00C94124">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 xml:space="preserve">Denis </w:t>
      </w:r>
      <w:proofErr w:type="spellStart"/>
      <w:r w:rsidRPr="001E486A">
        <w:rPr>
          <w:rFonts w:ascii="Bookman Old Style" w:hAnsi="Bookman Old Style"/>
          <w:sz w:val="23"/>
          <w:szCs w:val="23"/>
        </w:rPr>
        <w:t>Benhur</w:t>
      </w:r>
      <w:proofErr w:type="spellEnd"/>
      <w:r w:rsidRPr="001E486A">
        <w:rPr>
          <w:rFonts w:ascii="Bookman Old Style" w:hAnsi="Bookman Old Style"/>
          <w:sz w:val="23"/>
          <w:szCs w:val="23"/>
        </w:rPr>
        <w:t xml:space="preserve"> De Freitas Nunes</w:t>
      </w:r>
    </w:p>
    <w:p w:rsidR="00C94124" w:rsidRPr="001E486A" w:rsidRDefault="00C94124" w:rsidP="001E486A">
      <w:pPr>
        <w:spacing w:line="240" w:lineRule="auto"/>
        <w:contextualSpacing/>
        <w:mirrorIndents/>
        <w:jc w:val="center"/>
        <w:rPr>
          <w:rFonts w:ascii="Bookman Old Style" w:hAnsi="Bookman Old Style"/>
          <w:sz w:val="23"/>
          <w:szCs w:val="23"/>
        </w:rPr>
      </w:pPr>
      <w:r w:rsidRPr="001E486A">
        <w:rPr>
          <w:rFonts w:ascii="Bookman Old Style" w:hAnsi="Bookman Old Style"/>
          <w:sz w:val="23"/>
          <w:szCs w:val="23"/>
        </w:rPr>
        <w:t>Contratada</w:t>
      </w:r>
    </w:p>
    <w:p w:rsidR="00C94124" w:rsidRPr="001E486A" w:rsidRDefault="00C94124" w:rsidP="00C94124">
      <w:pPr>
        <w:spacing w:line="240" w:lineRule="auto"/>
        <w:contextualSpacing/>
        <w:mirrorIndents/>
        <w:rPr>
          <w:rFonts w:ascii="Bookman Old Style" w:hAnsi="Bookman Old Style"/>
          <w:sz w:val="23"/>
          <w:szCs w:val="23"/>
        </w:rPr>
      </w:pPr>
      <w:r w:rsidRPr="001E486A">
        <w:rPr>
          <w:rFonts w:ascii="Bookman Old Style" w:hAnsi="Bookman Old Style"/>
          <w:sz w:val="23"/>
          <w:szCs w:val="23"/>
        </w:rPr>
        <w:t>Testemunhas:</w:t>
      </w:r>
    </w:p>
    <w:p w:rsidR="00C94124" w:rsidRPr="001E486A" w:rsidRDefault="00C94124" w:rsidP="00C94124">
      <w:pPr>
        <w:spacing w:line="240" w:lineRule="auto"/>
        <w:contextualSpacing/>
        <w:mirrorIndents/>
        <w:jc w:val="center"/>
        <w:rPr>
          <w:rFonts w:ascii="Bookman Old Style" w:hAnsi="Bookman Old Style"/>
          <w:sz w:val="23"/>
          <w:szCs w:val="23"/>
        </w:rPr>
      </w:pPr>
    </w:p>
    <w:p w:rsidR="00C94124" w:rsidRPr="001E486A" w:rsidRDefault="00C94124" w:rsidP="00C94124">
      <w:pPr>
        <w:spacing w:line="240" w:lineRule="auto"/>
        <w:contextualSpacing/>
        <w:mirrorIndents/>
        <w:jc w:val="center"/>
        <w:rPr>
          <w:rFonts w:ascii="Bookman Old Style" w:hAnsi="Bookman Old Style"/>
          <w:sz w:val="23"/>
          <w:szCs w:val="23"/>
        </w:rPr>
      </w:pPr>
    </w:p>
    <w:p w:rsidR="00C94124" w:rsidRPr="001E486A" w:rsidRDefault="00C94124" w:rsidP="00C94124">
      <w:pPr>
        <w:spacing w:line="240" w:lineRule="auto"/>
        <w:contextualSpacing/>
        <w:mirrorIndents/>
        <w:jc w:val="center"/>
        <w:rPr>
          <w:rFonts w:ascii="Bookman Old Style" w:hAnsi="Bookman Old Style"/>
          <w:sz w:val="23"/>
          <w:szCs w:val="23"/>
        </w:rPr>
      </w:pPr>
    </w:p>
    <w:p w:rsidR="00C94124" w:rsidRPr="001E486A" w:rsidRDefault="00C94124" w:rsidP="00C94124">
      <w:pPr>
        <w:spacing w:line="240" w:lineRule="auto"/>
        <w:contextualSpacing/>
        <w:mirrorIndents/>
        <w:rPr>
          <w:rFonts w:ascii="Bookman Old Style" w:hAnsi="Bookman Old Style"/>
          <w:sz w:val="23"/>
          <w:szCs w:val="23"/>
        </w:rPr>
      </w:pPr>
      <w:r w:rsidRPr="001E486A">
        <w:rPr>
          <w:rFonts w:ascii="Bookman Old Style" w:hAnsi="Bookman Old Style"/>
          <w:sz w:val="23"/>
          <w:szCs w:val="23"/>
        </w:rPr>
        <w:t xml:space="preserve">      _____________________</w:t>
      </w:r>
      <w:r w:rsidRPr="001E486A">
        <w:rPr>
          <w:rFonts w:ascii="Bookman Old Style" w:hAnsi="Bookman Old Style"/>
          <w:sz w:val="23"/>
          <w:szCs w:val="23"/>
        </w:rPr>
        <w:tab/>
      </w:r>
      <w:r w:rsidRPr="001E486A">
        <w:rPr>
          <w:rFonts w:ascii="Bookman Old Style" w:hAnsi="Bookman Old Style"/>
          <w:sz w:val="23"/>
          <w:szCs w:val="23"/>
        </w:rPr>
        <w:tab/>
      </w:r>
      <w:r w:rsidRPr="001E486A">
        <w:rPr>
          <w:rFonts w:ascii="Bookman Old Style" w:hAnsi="Bookman Old Style"/>
          <w:sz w:val="23"/>
          <w:szCs w:val="23"/>
        </w:rPr>
        <w:tab/>
      </w:r>
      <w:r w:rsidRPr="001E486A">
        <w:rPr>
          <w:rFonts w:ascii="Bookman Old Style" w:hAnsi="Bookman Old Style"/>
          <w:sz w:val="23"/>
          <w:szCs w:val="23"/>
        </w:rPr>
        <w:tab/>
        <w:t xml:space="preserve"> _____________________</w:t>
      </w:r>
    </w:p>
    <w:p w:rsidR="00C94124" w:rsidRPr="001E486A" w:rsidRDefault="00C94124" w:rsidP="00C94124">
      <w:pPr>
        <w:spacing w:line="240" w:lineRule="auto"/>
        <w:contextualSpacing/>
        <w:mirrorIndents/>
        <w:rPr>
          <w:rFonts w:ascii="Bookman Old Style" w:hAnsi="Bookman Old Style"/>
          <w:sz w:val="23"/>
          <w:szCs w:val="23"/>
        </w:rPr>
      </w:pPr>
      <w:r w:rsidRPr="001E486A">
        <w:rPr>
          <w:rFonts w:ascii="Bookman Old Style" w:hAnsi="Bookman Old Style"/>
          <w:sz w:val="23"/>
          <w:szCs w:val="23"/>
        </w:rPr>
        <w:t xml:space="preserve">           Angelita Gabriel</w:t>
      </w:r>
      <w:r w:rsidRPr="001E486A">
        <w:rPr>
          <w:rFonts w:ascii="Bookman Old Style" w:hAnsi="Bookman Old Style"/>
          <w:sz w:val="23"/>
          <w:szCs w:val="23"/>
        </w:rPr>
        <w:tab/>
      </w:r>
      <w:r w:rsidRPr="001E486A">
        <w:rPr>
          <w:rFonts w:ascii="Bookman Old Style" w:hAnsi="Bookman Old Style"/>
          <w:sz w:val="23"/>
          <w:szCs w:val="23"/>
        </w:rPr>
        <w:tab/>
        <w:t xml:space="preserve">          </w:t>
      </w:r>
      <w:r w:rsidR="001558FB">
        <w:rPr>
          <w:rFonts w:ascii="Bookman Old Style" w:hAnsi="Bookman Old Style"/>
          <w:sz w:val="23"/>
          <w:szCs w:val="23"/>
        </w:rPr>
        <w:t xml:space="preserve">            </w:t>
      </w:r>
      <w:bookmarkStart w:id="0" w:name="_GoBack"/>
      <w:bookmarkEnd w:id="0"/>
      <w:r w:rsidRPr="001E486A">
        <w:rPr>
          <w:rFonts w:ascii="Bookman Old Style" w:hAnsi="Bookman Old Style"/>
          <w:sz w:val="23"/>
          <w:szCs w:val="23"/>
        </w:rPr>
        <w:t xml:space="preserve"> Laura Muniz da Silva</w:t>
      </w:r>
      <w:r w:rsidR="001558FB">
        <w:rPr>
          <w:rFonts w:ascii="Bookman Old Style" w:hAnsi="Bookman Old Style"/>
          <w:sz w:val="23"/>
          <w:szCs w:val="23"/>
        </w:rPr>
        <w:t xml:space="preserve"> </w:t>
      </w:r>
      <w:proofErr w:type="spellStart"/>
      <w:r w:rsidR="001558FB">
        <w:rPr>
          <w:rFonts w:ascii="Bookman Old Style" w:hAnsi="Bookman Old Style"/>
          <w:sz w:val="23"/>
          <w:szCs w:val="23"/>
        </w:rPr>
        <w:t>Bonavigo</w:t>
      </w:r>
      <w:proofErr w:type="spellEnd"/>
    </w:p>
    <w:p w:rsidR="00F37E0A" w:rsidRPr="001E486A" w:rsidRDefault="00C94124" w:rsidP="001E486A">
      <w:pPr>
        <w:spacing w:line="240" w:lineRule="auto"/>
        <w:contextualSpacing/>
        <w:mirrorIndents/>
        <w:rPr>
          <w:rFonts w:ascii="Bookman Old Style" w:hAnsi="Bookman Old Style"/>
          <w:sz w:val="23"/>
          <w:szCs w:val="23"/>
          <w:lang w:eastAsia="pt-BR"/>
        </w:rPr>
      </w:pPr>
      <w:r w:rsidRPr="001E486A">
        <w:rPr>
          <w:rFonts w:ascii="Bookman Old Style" w:hAnsi="Bookman Old Style"/>
          <w:sz w:val="23"/>
          <w:szCs w:val="23"/>
        </w:rPr>
        <w:t xml:space="preserve">          CPF: ***.893.109-**</w:t>
      </w:r>
      <w:r w:rsidRPr="001E486A">
        <w:rPr>
          <w:rFonts w:ascii="Bookman Old Style" w:hAnsi="Bookman Old Style"/>
          <w:sz w:val="23"/>
          <w:szCs w:val="23"/>
        </w:rPr>
        <w:tab/>
      </w:r>
      <w:r w:rsidRPr="001E486A">
        <w:rPr>
          <w:rFonts w:ascii="Bookman Old Style" w:hAnsi="Bookman Old Style"/>
          <w:sz w:val="23"/>
          <w:szCs w:val="23"/>
        </w:rPr>
        <w:tab/>
        <w:t xml:space="preserve"> </w:t>
      </w:r>
      <w:r w:rsidRPr="001E486A">
        <w:rPr>
          <w:rFonts w:ascii="Bookman Old Style" w:hAnsi="Bookman Old Style"/>
          <w:sz w:val="23"/>
          <w:szCs w:val="23"/>
        </w:rPr>
        <w:tab/>
        <w:t xml:space="preserve">               CPF: ***241.889**</w:t>
      </w:r>
    </w:p>
    <w:sectPr w:rsidR="00F37E0A" w:rsidRPr="001E486A" w:rsidSect="0067786F">
      <w:headerReference w:type="default" r:id="rId4"/>
      <w:footerReference w:type="default" r:id="rId5"/>
      <w:pgSz w:w="11906" w:h="16838"/>
      <w:pgMar w:top="1418"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ookman Old Style">
    <w:panose1 w:val="02050604050505020204"/>
    <w:charset w:val="00"/>
    <w:family w:val="roman"/>
    <w:pitch w:val="variable"/>
    <w:sig w:usb0="00000287" w:usb1="00000000" w:usb2="00000000" w:usb3="00000000" w:csb0="0000009F" w:csb1="00000000"/>
  </w:font>
  <w:font w:name="Malgun Gothic Semilight">
    <w:panose1 w:val="020B0502040204020203"/>
    <w:charset w:val="80"/>
    <w:family w:val="swiss"/>
    <w:pitch w:val="variable"/>
    <w:sig w:usb0="B0000AAF" w:usb1="09DF7CFB" w:usb2="00000012" w:usb3="00000000" w:csb0="003E01BD" w:csb1="00000000"/>
  </w:font>
  <w:font w:name="Cascadia Code ExtraLight">
    <w:altName w:val="Segoe UI Symbol"/>
    <w:charset w:val="00"/>
    <w:family w:val="modern"/>
    <w:pitch w:val="fixed"/>
    <w:sig w:usb0="A1002AFF" w:usb1="C000F9FB" w:usb2="00040020" w:usb3="00000000" w:csb0="000001FF" w:csb1="00000000"/>
  </w:font>
  <w:font w:name="Bookman Old Style,Bold">
    <w:panose1 w:val="00000000000000000000"/>
    <w:charset w:val="00"/>
    <w:family w:val="swiss"/>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Pr="00B15F6D" w:rsidRDefault="001558FB" w:rsidP="00B15F6D">
    <w:pPr>
      <w:spacing w:after="0" w:line="240" w:lineRule="auto"/>
      <w:ind w:left="13" w:right="11"/>
      <w:jc w:val="center"/>
      <w:rPr>
        <w:rFonts w:ascii="Bookman Old Style" w:hAnsi="Bookman Old Style"/>
        <w:b/>
        <w:sz w:val="12"/>
        <w:szCs w:val="12"/>
      </w:rPr>
    </w:pPr>
    <w:r w:rsidRPr="00B15F6D">
      <w:rPr>
        <w:rFonts w:ascii="Bookman Old Style" w:hAnsi="Bookman Old Style"/>
        <w:sz w:val="12"/>
        <w:szCs w:val="12"/>
      </w:rPr>
      <w:tab/>
    </w:r>
    <w:r w:rsidRPr="00B15F6D">
      <w:rPr>
        <w:rFonts w:ascii="Bookman Old Style" w:hAnsi="Bookman Old Style"/>
        <w:sz w:val="12"/>
        <w:szCs w:val="12"/>
      </w:rPr>
      <w:tab/>
    </w:r>
    <w:r w:rsidRPr="00B15F6D">
      <w:rPr>
        <w:rFonts w:ascii="Bookman Old Style" w:hAnsi="Bookman Old Style"/>
        <w:b/>
        <w:sz w:val="12"/>
        <w:szCs w:val="12"/>
      </w:rPr>
      <w:t>RUA</w:t>
    </w:r>
    <w:r w:rsidRPr="00B15F6D">
      <w:rPr>
        <w:rFonts w:ascii="Bookman Old Style" w:hAnsi="Bookman Old Style"/>
        <w:b/>
        <w:spacing w:val="-1"/>
        <w:sz w:val="12"/>
        <w:szCs w:val="12"/>
      </w:rPr>
      <w:t xml:space="preserve"> </w:t>
    </w:r>
    <w:r w:rsidRPr="00B15F6D">
      <w:rPr>
        <w:rFonts w:ascii="Bookman Old Style" w:hAnsi="Bookman Old Style"/>
        <w:b/>
        <w:sz w:val="12"/>
        <w:szCs w:val="12"/>
      </w:rPr>
      <w:t>CELSO</w:t>
    </w:r>
    <w:r w:rsidRPr="00B15F6D">
      <w:rPr>
        <w:rFonts w:ascii="Bookman Old Style" w:hAnsi="Bookman Old Style"/>
        <w:b/>
        <w:spacing w:val="-2"/>
        <w:sz w:val="12"/>
        <w:szCs w:val="12"/>
      </w:rPr>
      <w:t xml:space="preserve"> </w:t>
    </w:r>
    <w:proofErr w:type="spellStart"/>
    <w:r w:rsidRPr="00B15F6D">
      <w:rPr>
        <w:rFonts w:ascii="Bookman Old Style" w:hAnsi="Bookman Old Style"/>
        <w:b/>
        <w:sz w:val="12"/>
        <w:szCs w:val="12"/>
      </w:rPr>
      <w:t>TOZZO</w:t>
    </w:r>
    <w:proofErr w:type="spellEnd"/>
    <w:r w:rsidRPr="00B15F6D">
      <w:rPr>
        <w:rFonts w:ascii="Bookman Old Style" w:hAnsi="Bookman Old Style"/>
        <w:b/>
        <w:sz w:val="12"/>
        <w:szCs w:val="12"/>
      </w:rPr>
      <w:t>,</w:t>
    </w:r>
    <w:r w:rsidRPr="00B15F6D">
      <w:rPr>
        <w:rFonts w:ascii="Bookman Old Style" w:hAnsi="Bookman Old Style"/>
        <w:b/>
        <w:spacing w:val="-1"/>
        <w:sz w:val="12"/>
        <w:szCs w:val="12"/>
      </w:rPr>
      <w:t xml:space="preserve"> </w:t>
    </w:r>
    <w:r w:rsidRPr="00B15F6D">
      <w:rPr>
        <w:rFonts w:ascii="Bookman Old Style" w:hAnsi="Bookman Old Style"/>
        <w:b/>
        <w:sz w:val="12"/>
        <w:szCs w:val="12"/>
      </w:rPr>
      <w:t>27</w:t>
    </w:r>
    <w:r w:rsidRPr="00B15F6D">
      <w:rPr>
        <w:rFonts w:ascii="Bookman Old Style" w:hAnsi="Bookman Old Style"/>
        <w:b/>
        <w:spacing w:val="-2"/>
        <w:sz w:val="12"/>
        <w:szCs w:val="12"/>
      </w:rPr>
      <w:t xml:space="preserve"> </w:t>
    </w:r>
    <w:r w:rsidRPr="00B15F6D">
      <w:rPr>
        <w:rFonts w:ascii="Bookman Old Style" w:hAnsi="Bookman Old Style"/>
        <w:b/>
        <w:sz w:val="12"/>
        <w:szCs w:val="12"/>
      </w:rPr>
      <w:t>CEP:</w:t>
    </w:r>
    <w:r w:rsidRPr="00B15F6D">
      <w:rPr>
        <w:rFonts w:ascii="Bookman Old Style" w:hAnsi="Bookman Old Style"/>
        <w:b/>
        <w:spacing w:val="-2"/>
        <w:sz w:val="12"/>
        <w:szCs w:val="12"/>
      </w:rPr>
      <w:t xml:space="preserve"> </w:t>
    </w:r>
    <w:r w:rsidRPr="00B15F6D">
      <w:rPr>
        <w:rFonts w:ascii="Bookman Old Style" w:hAnsi="Bookman Old Style"/>
        <w:b/>
        <w:sz w:val="12"/>
        <w:szCs w:val="12"/>
      </w:rPr>
      <w:t>89.819-000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FONE:</w:t>
    </w:r>
    <w:r w:rsidRPr="00B15F6D">
      <w:rPr>
        <w:rFonts w:ascii="Bookman Old Style" w:hAnsi="Bookman Old Style"/>
        <w:b/>
        <w:spacing w:val="-2"/>
        <w:sz w:val="12"/>
        <w:szCs w:val="12"/>
      </w:rPr>
      <w:t xml:space="preserve"> </w:t>
    </w:r>
    <w:r w:rsidRPr="00B15F6D">
      <w:rPr>
        <w:rFonts w:ascii="Bookman Old Style" w:hAnsi="Bookman Old Style"/>
        <w:b/>
        <w:sz w:val="12"/>
        <w:szCs w:val="12"/>
      </w:rPr>
      <w:t>(49) 3358-9100</w:t>
    </w:r>
    <w:r w:rsidRPr="00B15F6D">
      <w:rPr>
        <w:rFonts w:ascii="Bookman Old Style" w:hAnsi="Bookman Old Style"/>
        <w:b/>
        <w:spacing w:val="-1"/>
        <w:sz w:val="12"/>
        <w:szCs w:val="12"/>
      </w:rPr>
      <w:t xml:space="preserve"> </w:t>
    </w:r>
    <w:r w:rsidRPr="00B15F6D">
      <w:rPr>
        <w:rFonts w:ascii="Bookman Old Style" w:hAnsi="Bookman Old Style"/>
        <w:b/>
        <w:sz w:val="12"/>
        <w:szCs w:val="12"/>
      </w:rPr>
      <w:t>–</w:t>
    </w:r>
    <w:r w:rsidRPr="00B15F6D">
      <w:rPr>
        <w:rFonts w:ascii="Bookman Old Style" w:hAnsi="Bookman Old Style"/>
        <w:b/>
        <w:spacing w:val="-3"/>
        <w:sz w:val="12"/>
        <w:szCs w:val="12"/>
      </w:rPr>
      <w:t xml:space="preserve"> </w:t>
    </w:r>
    <w:r w:rsidRPr="00B15F6D">
      <w:rPr>
        <w:rFonts w:ascii="Bookman Old Style" w:hAnsi="Bookman Old Style"/>
        <w:b/>
        <w:sz w:val="12"/>
        <w:szCs w:val="12"/>
      </w:rPr>
      <w:t>CORDILHEIRA ALTA –</w:t>
    </w:r>
    <w:r w:rsidRPr="00B15F6D">
      <w:rPr>
        <w:rFonts w:ascii="Bookman Old Style" w:hAnsi="Bookman Old Style"/>
        <w:b/>
        <w:spacing w:val="-3"/>
        <w:sz w:val="12"/>
        <w:szCs w:val="12"/>
      </w:rPr>
      <w:t xml:space="preserve"> </w:t>
    </w:r>
    <w:r w:rsidRPr="00B15F6D">
      <w:rPr>
        <w:rFonts w:ascii="Bookman Old Style" w:hAnsi="Bookman Old Style"/>
        <w:b/>
        <w:sz w:val="12"/>
        <w:szCs w:val="12"/>
      </w:rPr>
      <w:t>SC</w:t>
    </w:r>
  </w:p>
  <w:p w:rsidR="00020ADE" w:rsidRPr="00B15F6D" w:rsidRDefault="001558FB" w:rsidP="00B15F6D">
    <w:pPr>
      <w:spacing w:after="0" w:line="240" w:lineRule="auto"/>
      <w:ind w:left="7" w:right="11"/>
      <w:jc w:val="center"/>
      <w:rPr>
        <w:rFonts w:ascii="Bookman Old Style" w:hAnsi="Bookman Old Style"/>
        <w:b/>
        <w:sz w:val="12"/>
        <w:szCs w:val="12"/>
      </w:rPr>
    </w:pPr>
    <w:hyperlink r:id="rId1">
      <w:proofErr w:type="spellStart"/>
      <w:r w:rsidRPr="00B15F6D">
        <w:rPr>
          <w:rFonts w:ascii="Bookman Old Style" w:hAnsi="Bookman Old Style"/>
          <w:b/>
          <w:color w:val="0000FF"/>
          <w:sz w:val="12"/>
          <w:szCs w:val="12"/>
          <w:u w:val="single" w:color="0000FF"/>
        </w:rPr>
        <w:t>www.pmcordi.sc.gov.br</w:t>
      </w:r>
      <w:proofErr w:type="spellEnd"/>
    </w:hyperlink>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20ADE" w:rsidRDefault="00C94124">
    <w:pPr>
      <w:pStyle w:val="Cabealho"/>
    </w:pPr>
    <w:r>
      <w:rPr>
        <w:noProof/>
      </w:rPr>
      <w:drawing>
        <wp:anchor distT="0" distB="0" distL="114300" distR="114300" simplePos="0" relativeHeight="251659264" behindDoc="0" locked="0" layoutInCell="1" allowOverlap="0">
          <wp:simplePos x="0" y="0"/>
          <wp:positionH relativeFrom="page">
            <wp:posOffset>1614805</wp:posOffset>
          </wp:positionH>
          <wp:positionV relativeFrom="page">
            <wp:posOffset>201930</wp:posOffset>
          </wp:positionV>
          <wp:extent cx="4581525" cy="771525"/>
          <wp:effectExtent l="0" t="0" r="9525" b="9525"/>
          <wp:wrapSquare wrapText="bothSides"/>
          <wp:docPr id="1"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779"/>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581525" cy="7715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20ADE" w:rsidRDefault="001558FB">
    <w:pPr>
      <w:pStyle w:val="Cabealho"/>
    </w:pPr>
  </w:p>
  <w:p w:rsidR="00020ADE" w:rsidRDefault="001558FB">
    <w:pPr>
      <w:pStyle w:val="Cabealho"/>
    </w:pPr>
  </w:p>
  <w:p w:rsidR="00020ADE" w:rsidRDefault="001558FB">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50"/>
  </w:hdrShapeDefault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94124"/>
    <w:rsid w:val="0008305A"/>
    <w:rsid w:val="001558FB"/>
    <w:rsid w:val="001E486A"/>
    <w:rsid w:val="00B46C09"/>
    <w:rsid w:val="00C94124"/>
    <w:rsid w:val="00F37E0A"/>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92BE11A"/>
  <w15:chartTrackingRefBased/>
  <w15:docId w15:val="{CE0353C8-A96D-45E0-A6DE-7DD792DB44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94124"/>
    <w:rPr>
      <w:rFonts w:ascii="Calibri" w:eastAsia="Calibri" w:hAnsi="Calibri" w:cs="Times New Roman"/>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C94124"/>
    <w:pPr>
      <w:tabs>
        <w:tab w:val="center" w:pos="4252"/>
        <w:tab w:val="right" w:pos="8504"/>
      </w:tabs>
      <w:spacing w:after="0" w:line="240" w:lineRule="auto"/>
    </w:pPr>
  </w:style>
  <w:style w:type="character" w:customStyle="1" w:styleId="CabealhoChar">
    <w:name w:val="Cabeçalho Char"/>
    <w:basedOn w:val="Fontepargpadro"/>
    <w:link w:val="Cabealho"/>
    <w:uiPriority w:val="99"/>
    <w:rsid w:val="00C9412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footer" Target="footer1.xml"/><Relationship Id="rId4"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http://www.pmcordi.sc.gov.br/"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5</Pages>
  <Words>2250</Words>
  <Characters>12152</Characters>
  <Application>Microsoft Office Word</Application>
  <DocSecurity>0</DocSecurity>
  <Lines>101</Lines>
  <Paragraphs>28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14374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dc:creator>
  <cp:keywords/>
  <dc:description/>
  <cp:lastModifiedBy>Windows</cp:lastModifiedBy>
  <cp:revision>5</cp:revision>
  <dcterms:created xsi:type="dcterms:W3CDTF">2023-10-04T15:31:00Z</dcterms:created>
  <dcterms:modified xsi:type="dcterms:W3CDTF">2023-10-04T15:39:00Z</dcterms:modified>
</cp:coreProperties>
</file>