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7FB" w:rsidRPr="003018BB" w:rsidRDefault="009A27FB" w:rsidP="009A27FB">
      <w:pPr>
        <w:spacing w:line="240" w:lineRule="auto"/>
        <w:jc w:val="center"/>
        <w:rPr>
          <w:b/>
        </w:rPr>
      </w:pPr>
      <w:r w:rsidRPr="003018BB">
        <w:rPr>
          <w:b/>
        </w:rPr>
        <w:t>TERMO DE REFERÊNCIA</w:t>
      </w:r>
    </w:p>
    <w:p w:rsidR="009A27FB" w:rsidRPr="00AB70CA" w:rsidRDefault="009A27FB" w:rsidP="009A27FB">
      <w:pPr>
        <w:spacing w:line="240" w:lineRule="auto"/>
      </w:pPr>
    </w:p>
    <w:p w:rsidR="009A27FB" w:rsidRDefault="009A27FB" w:rsidP="009A27FB">
      <w:pPr>
        <w:spacing w:line="240" w:lineRule="auto"/>
        <w:rPr>
          <w:b/>
        </w:rPr>
      </w:pPr>
      <w:r w:rsidRPr="00AB70CA">
        <w:rPr>
          <w:b/>
        </w:rPr>
        <w:t>1 – OBJETO</w:t>
      </w:r>
    </w:p>
    <w:p w:rsidR="0058051C" w:rsidRPr="00AB70CA" w:rsidRDefault="0058051C" w:rsidP="009A27FB">
      <w:pPr>
        <w:spacing w:line="240" w:lineRule="auto"/>
        <w:rPr>
          <w:b/>
        </w:rPr>
      </w:pPr>
    </w:p>
    <w:p w:rsidR="009A27FB" w:rsidRPr="0058051C" w:rsidRDefault="009A27FB" w:rsidP="009A27FB">
      <w:pPr>
        <w:tabs>
          <w:tab w:val="left" w:pos="0"/>
        </w:tabs>
        <w:overflowPunct w:val="0"/>
        <w:autoSpaceDE w:val="0"/>
        <w:autoSpaceDN w:val="0"/>
        <w:adjustRightInd w:val="0"/>
        <w:ind w:right="-12"/>
        <w:rPr>
          <w:b/>
        </w:rPr>
      </w:pPr>
      <w:r w:rsidRPr="00045A30">
        <w:t xml:space="preserve">O objeto da presente dispensa de licitação é a </w:t>
      </w:r>
      <w:r w:rsidR="0058051C" w:rsidRPr="0058051C">
        <w:rPr>
          <w:b/>
        </w:rPr>
        <w:t>ADESÃO AO CONTRATO DE RATEIO PROPOÇOS, VISANDO À MANUTENÇÃO DAS ATIVIDADES REALIZADAS NO MUNICÍPIO.</w:t>
      </w:r>
    </w:p>
    <w:p w:rsidR="009A27FB" w:rsidRPr="00045A30" w:rsidRDefault="009A27FB" w:rsidP="009A27FB">
      <w:pPr>
        <w:tabs>
          <w:tab w:val="left" w:pos="0"/>
        </w:tabs>
        <w:overflowPunct w:val="0"/>
        <w:autoSpaceDE w:val="0"/>
        <w:autoSpaceDN w:val="0"/>
        <w:adjustRightInd w:val="0"/>
        <w:ind w:right="-12"/>
      </w:pPr>
    </w:p>
    <w:p w:rsidR="009A27FB" w:rsidRDefault="009A27FB" w:rsidP="009A27FB">
      <w:pPr>
        <w:spacing w:line="240" w:lineRule="auto"/>
        <w:rPr>
          <w:b/>
        </w:rPr>
      </w:pPr>
      <w:r w:rsidRPr="00AB70CA">
        <w:rPr>
          <w:b/>
        </w:rPr>
        <w:t>2 – JUSTIFICATIVA DA CONTRATAÇÃO</w:t>
      </w:r>
    </w:p>
    <w:p w:rsidR="0058051C" w:rsidRPr="00AB70CA" w:rsidRDefault="0058051C" w:rsidP="009A27FB">
      <w:pPr>
        <w:spacing w:line="240" w:lineRule="auto"/>
        <w:rPr>
          <w:b/>
        </w:rPr>
      </w:pPr>
    </w:p>
    <w:p w:rsidR="009A27FB" w:rsidRDefault="009A27FB" w:rsidP="009A27FB">
      <w:pPr>
        <w:tabs>
          <w:tab w:val="left" w:pos="0"/>
        </w:tabs>
        <w:overflowPunct w:val="0"/>
        <w:autoSpaceDE w:val="0"/>
        <w:autoSpaceDN w:val="0"/>
        <w:adjustRightInd w:val="0"/>
        <w:ind w:right="-12"/>
      </w:pPr>
      <w:r w:rsidRPr="00AB70CA">
        <w:t>Necessidade de adesão ao contrato de rateio PROPOÇOS para manutenção d</w:t>
      </w:r>
      <w:r>
        <w:t>as atividades da Secretaria de água e saneamento básico</w:t>
      </w:r>
      <w:r w:rsidRPr="00AB70CA">
        <w:t>.</w:t>
      </w:r>
    </w:p>
    <w:p w:rsidR="009A27FB" w:rsidRPr="00AB70CA" w:rsidRDefault="009A27FB" w:rsidP="009A27FB">
      <w:pPr>
        <w:tabs>
          <w:tab w:val="left" w:pos="0"/>
        </w:tabs>
        <w:overflowPunct w:val="0"/>
        <w:autoSpaceDE w:val="0"/>
        <w:autoSpaceDN w:val="0"/>
        <w:adjustRightInd w:val="0"/>
        <w:ind w:right="-12"/>
      </w:pPr>
    </w:p>
    <w:p w:rsidR="009A27FB" w:rsidRDefault="009A27FB" w:rsidP="009A27FB">
      <w:pPr>
        <w:spacing w:line="240" w:lineRule="auto"/>
        <w:rPr>
          <w:b/>
        </w:rPr>
      </w:pPr>
      <w:r w:rsidRPr="00AB70CA">
        <w:rPr>
          <w:b/>
        </w:rPr>
        <w:t>3 – ESPECIFICAÇÃO DO SERVIÇO/FORNECIMENTO</w:t>
      </w:r>
    </w:p>
    <w:p w:rsidR="0058051C" w:rsidRPr="00AB70CA" w:rsidRDefault="0058051C" w:rsidP="009A27FB">
      <w:pPr>
        <w:spacing w:line="240" w:lineRule="auto"/>
        <w:rPr>
          <w:b/>
        </w:rPr>
      </w:pPr>
    </w:p>
    <w:p w:rsidR="009A27FB" w:rsidRPr="00CB3109" w:rsidRDefault="009A27FB" w:rsidP="00041021">
      <w:pPr>
        <w:pStyle w:val="Corpodetexto3"/>
        <w:widowControl w:val="0"/>
        <w:ind w:right="17"/>
        <w:outlineLvl w:val="0"/>
        <w:rPr>
          <w:rFonts w:ascii="Bookman Old Style" w:hAnsi="Bookman Old Style"/>
          <w:sz w:val="22"/>
          <w:szCs w:val="22"/>
          <w:lang w:val="pt-BR"/>
        </w:rPr>
      </w:pPr>
      <w:r w:rsidRPr="00CB3109">
        <w:rPr>
          <w:rFonts w:ascii="Bookman Old Style" w:hAnsi="Bookman Old Style"/>
          <w:sz w:val="22"/>
          <w:szCs w:val="22"/>
        </w:rPr>
        <w:t>I. Perfurar poços tubulares profundos, conforme cronograma de trabalho, objetivando sistemas de captação de água em localidades de domínio público municipal para abastecimento coletivo, priorizando os municípios que tenham histórico recente de situações de emergência e/ou calamidade pública em decorrência de estiagem e/ou secas;</w:t>
      </w:r>
      <w:r w:rsidRPr="00CB3109">
        <w:rPr>
          <w:rFonts w:ascii="Bookman Old Style" w:hAnsi="Bookman Old Style"/>
          <w:sz w:val="22"/>
          <w:szCs w:val="22"/>
        </w:rPr>
        <w:br/>
        <w:t>II. Possibilitar às administrações públicas uma reserva estratégica de pronto acesso para abastecimento das redes públicas de distribui</w:t>
      </w:r>
      <w:r w:rsidR="00041021">
        <w:rPr>
          <w:rFonts w:ascii="Bookman Old Style" w:hAnsi="Bookman Old Style"/>
          <w:sz w:val="22"/>
          <w:szCs w:val="22"/>
        </w:rPr>
        <w:t>ção de água para consumo humano</w:t>
      </w:r>
      <w:r w:rsidR="00041021">
        <w:rPr>
          <w:rFonts w:ascii="Bookman Old Style" w:hAnsi="Bookman Old Style"/>
          <w:sz w:val="22"/>
          <w:szCs w:val="22"/>
          <w:lang w:val="pt-BR"/>
        </w:rPr>
        <w:t xml:space="preserve"> </w:t>
      </w:r>
      <w:r w:rsidR="00041021">
        <w:rPr>
          <w:rFonts w:ascii="Bookman Old Style" w:hAnsi="Bookman Old Style"/>
          <w:sz w:val="22"/>
          <w:szCs w:val="22"/>
        </w:rPr>
        <w:t>em</w:t>
      </w:r>
      <w:r w:rsidR="00041021">
        <w:rPr>
          <w:rFonts w:ascii="Bookman Old Style" w:hAnsi="Bookman Old Style"/>
          <w:sz w:val="22"/>
          <w:szCs w:val="22"/>
          <w:lang w:val="pt-BR"/>
        </w:rPr>
        <w:t xml:space="preserve"> </w:t>
      </w:r>
      <w:r w:rsidR="00041021">
        <w:rPr>
          <w:rFonts w:ascii="Bookman Old Style" w:hAnsi="Bookman Old Style"/>
          <w:sz w:val="22"/>
          <w:szCs w:val="22"/>
        </w:rPr>
        <w:t>períodos</w:t>
      </w:r>
      <w:r w:rsidR="00041021">
        <w:rPr>
          <w:rFonts w:ascii="Bookman Old Style" w:hAnsi="Bookman Old Style"/>
          <w:sz w:val="22"/>
          <w:szCs w:val="22"/>
          <w:lang w:val="pt-BR"/>
        </w:rPr>
        <w:t xml:space="preserve"> </w:t>
      </w:r>
      <w:r w:rsidR="00041021">
        <w:rPr>
          <w:rFonts w:ascii="Bookman Old Style" w:hAnsi="Bookman Old Style"/>
          <w:sz w:val="22"/>
          <w:szCs w:val="22"/>
        </w:rPr>
        <w:t>de</w:t>
      </w:r>
      <w:r w:rsidR="00041021">
        <w:rPr>
          <w:rFonts w:ascii="Bookman Old Style" w:hAnsi="Bookman Old Style"/>
          <w:sz w:val="22"/>
          <w:szCs w:val="22"/>
          <w:lang w:val="pt-BR"/>
        </w:rPr>
        <w:t xml:space="preserve"> </w:t>
      </w:r>
      <w:r w:rsidRPr="00CB3109">
        <w:rPr>
          <w:rFonts w:ascii="Bookman Old Style" w:hAnsi="Bookman Old Style"/>
          <w:sz w:val="22"/>
          <w:szCs w:val="22"/>
        </w:rPr>
        <w:t>escassez;</w:t>
      </w:r>
      <w:r w:rsidRPr="00CB3109">
        <w:rPr>
          <w:rFonts w:ascii="Bookman Old Style" w:hAnsi="Bookman Old Style"/>
          <w:sz w:val="22"/>
          <w:szCs w:val="22"/>
        </w:rPr>
        <w:br/>
        <w:t>III. Perfurar poços tubulares profundos para captação de água, visando ao bem-estar social das comunidades no território de abrangência dos Municípios vinculados ao CIDEMA e amenizar, prevenir ou cessar os efeitos da estiagem e das secas;</w:t>
      </w:r>
      <w:r w:rsidRPr="00CB3109">
        <w:rPr>
          <w:rFonts w:ascii="Bookman Old Style" w:hAnsi="Bookman Old Style"/>
          <w:sz w:val="22"/>
          <w:szCs w:val="22"/>
        </w:rPr>
        <w:br/>
        <w:t>IV. Articular com as políticas de desenvolvimento regional de proteção e preservação ambiental, de promoção da saúde e outras de relevante interesse social voltadas para a melhoria da qualidade de vida da população local, sobre</w:t>
      </w:r>
      <w:r w:rsidR="00041021">
        <w:rPr>
          <w:rFonts w:ascii="Bookman Old Style" w:hAnsi="Bookman Old Style"/>
          <w:sz w:val="22"/>
          <w:szCs w:val="22"/>
        </w:rPr>
        <w:t>tudo aquela residente nas áreas</w:t>
      </w:r>
      <w:r w:rsidR="00041021">
        <w:rPr>
          <w:rFonts w:ascii="Bookman Old Style" w:hAnsi="Bookman Old Style"/>
          <w:sz w:val="22"/>
          <w:szCs w:val="22"/>
          <w:lang w:val="pt-BR"/>
        </w:rPr>
        <w:t xml:space="preserve"> </w:t>
      </w:r>
      <w:r w:rsidRPr="00CB3109">
        <w:rPr>
          <w:rFonts w:ascii="Bookman Old Style" w:hAnsi="Bookman Old Style"/>
          <w:sz w:val="22"/>
          <w:szCs w:val="22"/>
        </w:rPr>
        <w:t xml:space="preserve">rurais; </w:t>
      </w:r>
      <w:r w:rsidRPr="00CB3109">
        <w:rPr>
          <w:rFonts w:ascii="Bookman Old Style" w:hAnsi="Bookman Old Style"/>
          <w:sz w:val="22"/>
          <w:szCs w:val="22"/>
        </w:rPr>
        <w:br/>
        <w:t>V. Atender o disposto no Termo de Cooperação Técnica firmado com a Secretaria de Estado da Agricultura e da Pesca.</w:t>
      </w:r>
    </w:p>
    <w:p w:rsidR="009A27FB" w:rsidRPr="00AB70CA" w:rsidRDefault="009A27FB" w:rsidP="009A27FB">
      <w:pPr>
        <w:spacing w:line="240" w:lineRule="auto"/>
        <w:rPr>
          <w:rFonts w:cs="Segoe UI"/>
        </w:rPr>
      </w:pPr>
    </w:p>
    <w:p w:rsidR="009A27FB" w:rsidRPr="004C7FD1" w:rsidRDefault="009A27FB" w:rsidP="009A27FB">
      <w:pPr>
        <w:spacing w:line="240" w:lineRule="auto"/>
        <w:rPr>
          <w:b/>
        </w:rPr>
      </w:pPr>
      <w:r w:rsidRPr="00AB70CA">
        <w:rPr>
          <w:b/>
        </w:rPr>
        <w:t>4 – LOCAL DA ENTREGA DO BEM/SERVIÇO</w:t>
      </w:r>
    </w:p>
    <w:p w:rsidR="0058051C" w:rsidRDefault="0058051C" w:rsidP="009A27FB">
      <w:pPr>
        <w:spacing w:line="240" w:lineRule="auto"/>
      </w:pPr>
    </w:p>
    <w:p w:rsidR="009A27FB" w:rsidRPr="004C7FD1" w:rsidRDefault="009A27FB" w:rsidP="009A27FB">
      <w:pPr>
        <w:spacing w:line="240" w:lineRule="auto"/>
      </w:pPr>
      <w:r w:rsidRPr="004C7FD1">
        <w:t>Município de Cordilheira Alta.</w:t>
      </w:r>
    </w:p>
    <w:p w:rsidR="009A27FB" w:rsidRPr="004C7FD1" w:rsidRDefault="009A27FB" w:rsidP="009A27FB">
      <w:pPr>
        <w:spacing w:line="240" w:lineRule="auto"/>
        <w:rPr>
          <w:b/>
        </w:rPr>
      </w:pPr>
    </w:p>
    <w:p w:rsidR="009A27FB" w:rsidRPr="004C7FD1" w:rsidRDefault="009A27FB" w:rsidP="009A27FB">
      <w:pPr>
        <w:spacing w:line="240" w:lineRule="auto"/>
        <w:rPr>
          <w:b/>
        </w:rPr>
      </w:pPr>
      <w:r w:rsidRPr="004C7FD1">
        <w:rPr>
          <w:b/>
        </w:rPr>
        <w:t>5 – VIGÊNCIA CONTRATUAL</w:t>
      </w:r>
    </w:p>
    <w:p w:rsidR="0058051C" w:rsidRDefault="0058051C" w:rsidP="009A27FB">
      <w:pPr>
        <w:spacing w:line="240" w:lineRule="auto"/>
      </w:pPr>
    </w:p>
    <w:p w:rsidR="009A27FB" w:rsidRPr="003018BB" w:rsidRDefault="006C1C79" w:rsidP="009A27FB">
      <w:pPr>
        <w:spacing w:line="240" w:lineRule="auto"/>
      </w:pPr>
      <w:r>
        <w:t>A partir da data de assinatura a</w:t>
      </w:r>
      <w:r w:rsidR="009A27FB">
        <w:t>té 31/12/202</w:t>
      </w:r>
      <w:r w:rsidR="00365DC4">
        <w:t>3</w:t>
      </w:r>
      <w:r w:rsidR="009A27FB" w:rsidRPr="003018BB">
        <w:t>.</w:t>
      </w:r>
    </w:p>
    <w:p w:rsidR="009A27FB" w:rsidRPr="003018BB" w:rsidRDefault="009A27FB" w:rsidP="009A27FB">
      <w:pPr>
        <w:spacing w:line="240" w:lineRule="auto"/>
        <w:rPr>
          <w:b/>
        </w:rPr>
      </w:pPr>
    </w:p>
    <w:p w:rsidR="009A27FB" w:rsidRDefault="009A27FB" w:rsidP="009A27FB">
      <w:pPr>
        <w:spacing w:line="240" w:lineRule="auto"/>
        <w:rPr>
          <w:b/>
        </w:rPr>
      </w:pPr>
      <w:r w:rsidRPr="003018BB">
        <w:rPr>
          <w:b/>
        </w:rPr>
        <w:t>6 – ACOMPANHAMENTO DA EXECUÇÃO</w:t>
      </w:r>
    </w:p>
    <w:p w:rsidR="0058051C" w:rsidRPr="003018BB" w:rsidRDefault="0058051C" w:rsidP="009A27FB">
      <w:pPr>
        <w:spacing w:line="240" w:lineRule="auto"/>
        <w:rPr>
          <w:b/>
        </w:rPr>
      </w:pPr>
    </w:p>
    <w:p w:rsidR="009A27FB" w:rsidRPr="003018BB" w:rsidRDefault="009A27FB" w:rsidP="009A27FB">
      <w:pPr>
        <w:spacing w:line="240" w:lineRule="auto"/>
        <w:rPr>
          <w:b/>
        </w:rPr>
      </w:pPr>
      <w:r w:rsidRPr="003018BB">
        <w:t>O</w:t>
      </w:r>
      <w:r w:rsidRPr="003018BB">
        <w:rPr>
          <w:b/>
        </w:rPr>
        <w:t xml:space="preserve"> </w:t>
      </w:r>
      <w:r w:rsidRPr="003018BB">
        <w:t>acompanhamento se</w:t>
      </w:r>
      <w:r>
        <w:t xml:space="preserve">rá realizado pelo </w:t>
      </w:r>
      <w:r w:rsidR="006C1C79">
        <w:t>Secretário de água e Saneamento Básico.</w:t>
      </w:r>
    </w:p>
    <w:p w:rsidR="009A27FB" w:rsidRPr="003018BB" w:rsidRDefault="009A27FB" w:rsidP="009A27FB">
      <w:pPr>
        <w:spacing w:line="240" w:lineRule="auto"/>
      </w:pPr>
    </w:p>
    <w:p w:rsidR="009A27FB" w:rsidRPr="003018BB" w:rsidRDefault="009A27FB" w:rsidP="009A27FB">
      <w:pPr>
        <w:pStyle w:val="Corpodetexto3"/>
        <w:widowControl w:val="0"/>
        <w:tabs>
          <w:tab w:val="left" w:pos="1985"/>
          <w:tab w:val="left" w:pos="2268"/>
        </w:tabs>
        <w:ind w:firstLine="1418"/>
        <w:jc w:val="right"/>
        <w:outlineLvl w:val="0"/>
        <w:rPr>
          <w:rFonts w:ascii="Bookman Old Style" w:hAnsi="Bookman Old Style" w:cs="Arial"/>
          <w:sz w:val="22"/>
          <w:szCs w:val="22"/>
        </w:rPr>
      </w:pPr>
      <w:r w:rsidRPr="003018BB">
        <w:rPr>
          <w:rFonts w:ascii="Bookman Old Style" w:hAnsi="Bookman Old Style" w:cs="Arial"/>
          <w:sz w:val="22"/>
          <w:szCs w:val="22"/>
        </w:rPr>
        <w:t xml:space="preserve">Cordilheira Alta/SC, </w:t>
      </w:r>
      <w:r w:rsidR="00E16F4E">
        <w:rPr>
          <w:rFonts w:ascii="Bookman Old Style" w:hAnsi="Bookman Old Style" w:cs="Arial"/>
          <w:sz w:val="22"/>
          <w:szCs w:val="22"/>
          <w:lang w:val="pt-BR"/>
        </w:rPr>
        <w:t>11</w:t>
      </w:r>
      <w:bookmarkStart w:id="0" w:name="_GoBack"/>
      <w:bookmarkEnd w:id="0"/>
      <w:r w:rsidR="0058051C">
        <w:rPr>
          <w:rFonts w:ascii="Bookman Old Style" w:hAnsi="Bookman Old Style" w:cs="Arial"/>
          <w:sz w:val="22"/>
          <w:szCs w:val="22"/>
          <w:lang w:val="pt-BR"/>
        </w:rPr>
        <w:t xml:space="preserve"> de janeiro de 202</w:t>
      </w:r>
      <w:r w:rsidR="00365DC4">
        <w:rPr>
          <w:rFonts w:ascii="Bookman Old Style" w:hAnsi="Bookman Old Style" w:cs="Arial"/>
          <w:sz w:val="22"/>
          <w:szCs w:val="22"/>
          <w:lang w:val="pt-BR"/>
        </w:rPr>
        <w:t>3</w:t>
      </w:r>
      <w:r w:rsidR="006C1C79">
        <w:rPr>
          <w:rFonts w:ascii="Bookman Old Style" w:hAnsi="Bookman Old Style" w:cs="Arial"/>
          <w:sz w:val="22"/>
          <w:szCs w:val="22"/>
          <w:lang w:val="pt-BR"/>
        </w:rPr>
        <w:t>.</w:t>
      </w:r>
    </w:p>
    <w:p w:rsidR="009A27FB" w:rsidRPr="003018BB" w:rsidRDefault="009A27FB" w:rsidP="009A27FB">
      <w:pPr>
        <w:spacing w:line="240" w:lineRule="auto"/>
      </w:pPr>
    </w:p>
    <w:p w:rsidR="0058051C" w:rsidRDefault="0058051C" w:rsidP="009A27FB">
      <w:pPr>
        <w:spacing w:line="240" w:lineRule="auto"/>
        <w:jc w:val="center"/>
        <w:rPr>
          <w:b/>
        </w:rPr>
      </w:pPr>
    </w:p>
    <w:p w:rsidR="009A27FB" w:rsidRPr="003018BB" w:rsidRDefault="0058051C" w:rsidP="009A27FB">
      <w:pPr>
        <w:spacing w:line="240" w:lineRule="auto"/>
        <w:jc w:val="center"/>
        <w:rPr>
          <w:b/>
        </w:rPr>
      </w:pPr>
      <w:r>
        <w:rPr>
          <w:b/>
        </w:rPr>
        <w:t>LAURO TECCHIO</w:t>
      </w:r>
    </w:p>
    <w:p w:rsidR="009A27FB" w:rsidRPr="003018BB" w:rsidRDefault="0058051C" w:rsidP="009A27FB">
      <w:pPr>
        <w:spacing w:line="240" w:lineRule="auto"/>
        <w:jc w:val="center"/>
      </w:pPr>
      <w:r>
        <w:t>Prefeito Municipal, em e</w:t>
      </w:r>
      <w:r w:rsidR="00365DC4">
        <w:t>x</w:t>
      </w:r>
      <w:r>
        <w:t>ercício</w:t>
      </w:r>
    </w:p>
    <w:p w:rsidR="009A27FB" w:rsidRPr="003018BB" w:rsidRDefault="009A27FB" w:rsidP="009A27FB">
      <w:pPr>
        <w:spacing w:line="240" w:lineRule="auto"/>
      </w:pPr>
    </w:p>
    <w:p w:rsidR="0008267D" w:rsidRPr="009A27FB" w:rsidRDefault="009A27FB" w:rsidP="006C1C79">
      <w:pPr>
        <w:spacing w:line="240" w:lineRule="auto"/>
        <w:jc w:val="center"/>
      </w:pPr>
      <w:r>
        <w:rPr>
          <w:b/>
        </w:rPr>
        <w:t xml:space="preserve"> </w:t>
      </w:r>
    </w:p>
    <w:sectPr w:rsidR="0008267D" w:rsidRPr="009A27FB">
      <w:headerReference w:type="even" r:id="rId7"/>
      <w:headerReference w:type="default" r:id="rId8"/>
      <w:footerReference w:type="even" r:id="rId9"/>
      <w:footerReference w:type="default" r:id="rId10"/>
      <w:headerReference w:type="first" r:id="rId11"/>
      <w:footerReference w:type="first" r:id="rId12"/>
      <w:pgSz w:w="11906" w:h="16841"/>
      <w:pgMar w:top="1942" w:right="1115" w:bottom="1259" w:left="1702" w:header="679" w:footer="4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5FB" w:rsidRDefault="00C155FB">
      <w:pPr>
        <w:spacing w:line="240" w:lineRule="auto"/>
      </w:pPr>
      <w:r>
        <w:separator/>
      </w:r>
    </w:p>
  </w:endnote>
  <w:endnote w:type="continuationSeparator" w:id="0">
    <w:p w:rsidR="00C155FB" w:rsidRDefault="00C155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67D" w:rsidRDefault="006D11B5">
    <w:pPr>
      <w:spacing w:line="277" w:lineRule="auto"/>
      <w:ind w:left="3574" w:hanging="2909"/>
      <w:jc w:val="left"/>
    </w:pPr>
    <w:r>
      <w:rPr>
        <w:b/>
        <w:sz w:val="16"/>
      </w:rPr>
      <w:t xml:space="preserve">RUA CELSO TOZZO, 27 CEP: 89.819-000 – FONE: (49) 3358-9100 – CORDILHEIRA ALTA – SC </w:t>
    </w:r>
    <w:r>
      <w:rPr>
        <w:b/>
        <w:sz w:val="16"/>
      </w:rPr>
      <w:tab/>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r>
      <w:rPr>
        <w:b/>
        <w:sz w:val="16"/>
      </w:rPr>
      <w:t xml:space="preserve">www.pmcordi.sc.gov.br </w:t>
    </w:r>
  </w:p>
  <w:p w:rsidR="0008267D" w:rsidRDefault="006D11B5">
    <w:pPr>
      <w:spacing w:line="259" w:lineRule="auto"/>
      <w:ind w:lef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67D" w:rsidRDefault="006D11B5">
    <w:pPr>
      <w:spacing w:line="277" w:lineRule="auto"/>
      <w:ind w:left="3574" w:hanging="2909"/>
      <w:jc w:val="left"/>
    </w:pPr>
    <w:r>
      <w:rPr>
        <w:b/>
        <w:sz w:val="16"/>
      </w:rPr>
      <w:t xml:space="preserve">RUA CELSO TOZZO, 27 CEP: 89.819-000 – FONE: (49) 3358-9100 – CORDILHEIRA ALTA – SC </w:t>
    </w:r>
    <w:r>
      <w:rPr>
        <w:b/>
        <w:sz w:val="16"/>
      </w:rPr>
      <w:tab/>
    </w:r>
    <w:r>
      <w:fldChar w:fldCharType="begin"/>
    </w:r>
    <w:r>
      <w:instrText xml:space="preserve"> PAGE   \* MERGEFORMAT </w:instrText>
    </w:r>
    <w:r>
      <w:fldChar w:fldCharType="separate"/>
    </w:r>
    <w:r w:rsidR="00041021" w:rsidRPr="00041021">
      <w:rPr>
        <w:rFonts w:ascii="Arial" w:eastAsia="Arial" w:hAnsi="Arial" w:cs="Arial"/>
        <w:noProof/>
        <w:sz w:val="20"/>
      </w:rPr>
      <w:t>1</w:t>
    </w:r>
    <w:r>
      <w:rPr>
        <w:rFonts w:ascii="Arial" w:eastAsia="Arial" w:hAnsi="Arial" w:cs="Arial"/>
        <w:sz w:val="20"/>
      </w:rPr>
      <w:fldChar w:fldCharType="end"/>
    </w:r>
    <w:r>
      <w:rPr>
        <w:rFonts w:ascii="Arial" w:eastAsia="Arial" w:hAnsi="Arial" w:cs="Arial"/>
        <w:sz w:val="20"/>
      </w:rPr>
      <w:t xml:space="preserve"> </w:t>
    </w:r>
    <w:r>
      <w:rPr>
        <w:b/>
        <w:sz w:val="16"/>
      </w:rPr>
      <w:t xml:space="preserve">www.pmcordi.sc.gov.br </w:t>
    </w:r>
  </w:p>
  <w:p w:rsidR="0008267D" w:rsidRDefault="006D11B5">
    <w:pPr>
      <w:spacing w:line="259" w:lineRule="auto"/>
      <w:ind w:lef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67D" w:rsidRDefault="006D11B5">
    <w:pPr>
      <w:spacing w:line="277" w:lineRule="auto"/>
      <w:ind w:left="3574" w:hanging="2909"/>
      <w:jc w:val="left"/>
    </w:pPr>
    <w:r>
      <w:rPr>
        <w:b/>
        <w:sz w:val="16"/>
      </w:rPr>
      <w:t xml:space="preserve">RUA CELSO TOZZO, 27 CEP: 89.819-000 – FONE: (49) 3358-9100 – CORDILHEIRA ALTA – SC </w:t>
    </w:r>
    <w:r>
      <w:rPr>
        <w:b/>
        <w:sz w:val="16"/>
      </w:rPr>
      <w:tab/>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r>
      <w:rPr>
        <w:b/>
        <w:sz w:val="16"/>
      </w:rPr>
      <w:t xml:space="preserve">www.pmcordi.sc.gov.br </w:t>
    </w:r>
  </w:p>
  <w:p w:rsidR="0008267D" w:rsidRDefault="006D11B5">
    <w:pPr>
      <w:spacing w:line="259" w:lineRule="auto"/>
      <w:ind w:left="0"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5FB" w:rsidRDefault="00C155FB">
      <w:pPr>
        <w:spacing w:line="240" w:lineRule="auto"/>
      </w:pPr>
      <w:r>
        <w:separator/>
      </w:r>
    </w:p>
  </w:footnote>
  <w:footnote w:type="continuationSeparator" w:id="0">
    <w:p w:rsidR="00C155FB" w:rsidRDefault="00C155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67D" w:rsidRDefault="006D11B5">
    <w:pPr>
      <w:spacing w:line="259" w:lineRule="auto"/>
      <w:ind w:left="0" w:right="892" w:firstLine="0"/>
      <w:jc w:val="right"/>
    </w:pPr>
    <w:r>
      <w:rPr>
        <w:noProof/>
      </w:rPr>
      <w:drawing>
        <wp:anchor distT="0" distB="0" distL="114300" distR="114300" simplePos="0" relativeHeight="251658240" behindDoc="0" locked="0" layoutInCell="1" allowOverlap="0">
          <wp:simplePos x="0" y="0"/>
          <wp:positionH relativeFrom="page">
            <wp:posOffset>1668780</wp:posOffset>
          </wp:positionH>
          <wp:positionV relativeFrom="page">
            <wp:posOffset>431164</wp:posOffset>
          </wp:positionV>
          <wp:extent cx="4584065" cy="77152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1525"/>
                  </a:xfrm>
                  <a:prstGeom prst="rect">
                    <a:avLst/>
                  </a:prstGeom>
                </pic:spPr>
              </pic:pic>
            </a:graphicData>
          </a:graphic>
        </wp:anchor>
      </w:drawing>
    </w: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67D" w:rsidRDefault="006D11B5">
    <w:pPr>
      <w:spacing w:line="259" w:lineRule="auto"/>
      <w:ind w:left="0" w:right="892" w:firstLine="0"/>
      <w:jc w:val="right"/>
    </w:pPr>
    <w:r>
      <w:rPr>
        <w:noProof/>
      </w:rPr>
      <w:drawing>
        <wp:anchor distT="0" distB="0" distL="114300" distR="114300" simplePos="0" relativeHeight="251659264" behindDoc="0" locked="0" layoutInCell="1" allowOverlap="0">
          <wp:simplePos x="0" y="0"/>
          <wp:positionH relativeFrom="page">
            <wp:posOffset>1668780</wp:posOffset>
          </wp:positionH>
          <wp:positionV relativeFrom="page">
            <wp:posOffset>431164</wp:posOffset>
          </wp:positionV>
          <wp:extent cx="4584065" cy="771525"/>
          <wp:effectExtent l="0" t="0" r="0" b="0"/>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1525"/>
                  </a:xfrm>
                  <a:prstGeom prst="rect">
                    <a:avLst/>
                  </a:prstGeom>
                </pic:spPr>
              </pic:pic>
            </a:graphicData>
          </a:graphic>
        </wp:anchor>
      </w:drawing>
    </w: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67D" w:rsidRDefault="006D11B5">
    <w:pPr>
      <w:spacing w:line="259" w:lineRule="auto"/>
      <w:ind w:left="0" w:right="892" w:firstLine="0"/>
      <w:jc w:val="right"/>
    </w:pPr>
    <w:r>
      <w:rPr>
        <w:noProof/>
      </w:rPr>
      <w:drawing>
        <wp:anchor distT="0" distB="0" distL="114300" distR="114300" simplePos="0" relativeHeight="251660288" behindDoc="0" locked="0" layoutInCell="1" allowOverlap="0">
          <wp:simplePos x="0" y="0"/>
          <wp:positionH relativeFrom="page">
            <wp:posOffset>1668780</wp:posOffset>
          </wp:positionH>
          <wp:positionV relativeFrom="page">
            <wp:posOffset>431164</wp:posOffset>
          </wp:positionV>
          <wp:extent cx="4584065" cy="771525"/>
          <wp:effectExtent l="0" t="0" r="0" b="0"/>
          <wp:wrapSquare wrapText="bothSides"/>
          <wp:docPr id="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1525"/>
                  </a:xfrm>
                  <a:prstGeom prst="rect">
                    <a:avLst/>
                  </a:prstGeom>
                </pic:spPr>
              </pic:pic>
            </a:graphicData>
          </a:graphic>
        </wp:anchor>
      </w:drawing>
    </w: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12E3C"/>
    <w:multiLevelType w:val="hybridMultilevel"/>
    <w:tmpl w:val="D0CCABE4"/>
    <w:lvl w:ilvl="0" w:tplc="FC34FACC">
      <w:start w:val="1"/>
      <w:numFmt w:val="decimal"/>
      <w:lvlText w:val="%1"/>
      <w:lvlJc w:val="left"/>
      <w:pPr>
        <w:ind w:left="36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EF60D23E">
      <w:start w:val="1"/>
      <w:numFmt w:val="upperRoman"/>
      <w:lvlText w:val="%2"/>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299231BC">
      <w:start w:val="1"/>
      <w:numFmt w:val="lowerRoman"/>
      <w:lvlText w:val="%3"/>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4D0427F6">
      <w:start w:val="1"/>
      <w:numFmt w:val="decimal"/>
      <w:lvlText w:val="%4"/>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88C0D400">
      <w:start w:val="1"/>
      <w:numFmt w:val="lowerLetter"/>
      <w:lvlText w:val="%5"/>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C638CF40">
      <w:start w:val="1"/>
      <w:numFmt w:val="lowerRoman"/>
      <w:lvlText w:val="%6"/>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76CCFCB8">
      <w:start w:val="1"/>
      <w:numFmt w:val="decimal"/>
      <w:lvlText w:val="%7"/>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E3000130">
      <w:start w:val="1"/>
      <w:numFmt w:val="lowerLetter"/>
      <w:lvlText w:val="%8"/>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FA22A83A">
      <w:start w:val="1"/>
      <w:numFmt w:val="lowerRoman"/>
      <w:lvlText w:val="%9"/>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CBB75F6"/>
    <w:multiLevelType w:val="hybridMultilevel"/>
    <w:tmpl w:val="597082E2"/>
    <w:lvl w:ilvl="0" w:tplc="82903524">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2A824542">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69A8BD3C">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1BDE65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DAEA062C">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3F1C876A">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5902312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7890BB2A">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F00EED2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D347937"/>
    <w:multiLevelType w:val="hybridMultilevel"/>
    <w:tmpl w:val="EDD0DCF0"/>
    <w:lvl w:ilvl="0" w:tplc="931055AA">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C3B0CB2A">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A3B259F2">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1CC64C54">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B5B6B38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C80E677E">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BEEE4C88">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5768BC5E">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112523A">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1824845"/>
    <w:multiLevelType w:val="hybridMultilevel"/>
    <w:tmpl w:val="AC388C92"/>
    <w:lvl w:ilvl="0" w:tplc="5C3272C2">
      <w:start w:val="2"/>
      <w:numFmt w:val="upperRoman"/>
      <w:lvlText w:val="%1"/>
      <w:lvlJc w:val="left"/>
      <w:pPr>
        <w:ind w:left="34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162A8FB4">
      <w:start w:val="1"/>
      <w:numFmt w:val="lowerLetter"/>
      <w:lvlText w:val="%2"/>
      <w:lvlJc w:val="left"/>
      <w:pPr>
        <w:ind w:left="10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5AB67666">
      <w:start w:val="1"/>
      <w:numFmt w:val="lowerRoman"/>
      <w:lvlText w:val="%3"/>
      <w:lvlJc w:val="left"/>
      <w:pPr>
        <w:ind w:left="18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BB44AE06">
      <w:start w:val="1"/>
      <w:numFmt w:val="decimal"/>
      <w:lvlText w:val="%4"/>
      <w:lvlJc w:val="left"/>
      <w:pPr>
        <w:ind w:left="25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C8526C6C">
      <w:start w:val="1"/>
      <w:numFmt w:val="lowerLetter"/>
      <w:lvlText w:val="%5"/>
      <w:lvlJc w:val="left"/>
      <w:pPr>
        <w:ind w:left="324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EEA82B08">
      <w:start w:val="1"/>
      <w:numFmt w:val="lowerRoman"/>
      <w:lvlText w:val="%6"/>
      <w:lvlJc w:val="left"/>
      <w:pPr>
        <w:ind w:left="396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22767B1A">
      <w:start w:val="1"/>
      <w:numFmt w:val="decimal"/>
      <w:lvlText w:val="%7"/>
      <w:lvlJc w:val="left"/>
      <w:pPr>
        <w:ind w:left="46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F3F6E61A">
      <w:start w:val="1"/>
      <w:numFmt w:val="lowerLetter"/>
      <w:lvlText w:val="%8"/>
      <w:lvlJc w:val="left"/>
      <w:pPr>
        <w:ind w:left="54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072ED8FE">
      <w:start w:val="1"/>
      <w:numFmt w:val="lowerRoman"/>
      <w:lvlText w:val="%9"/>
      <w:lvlJc w:val="left"/>
      <w:pPr>
        <w:ind w:left="61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FEB391D"/>
    <w:multiLevelType w:val="hybridMultilevel"/>
    <w:tmpl w:val="86225964"/>
    <w:lvl w:ilvl="0" w:tplc="E74E627C">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CE8B36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10AFD8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CCAC81A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A1C699A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12884034">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738E9474">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9BEBC58">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11D68F20">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67D"/>
    <w:rsid w:val="00041021"/>
    <w:rsid w:val="0008267D"/>
    <w:rsid w:val="002633D8"/>
    <w:rsid w:val="00365DC4"/>
    <w:rsid w:val="004A790F"/>
    <w:rsid w:val="0058051C"/>
    <w:rsid w:val="005D62A4"/>
    <w:rsid w:val="006C1C79"/>
    <w:rsid w:val="006D11B5"/>
    <w:rsid w:val="00790416"/>
    <w:rsid w:val="009A27FB"/>
    <w:rsid w:val="009C0C60"/>
    <w:rsid w:val="00A74E06"/>
    <w:rsid w:val="00C155FB"/>
    <w:rsid w:val="00D27F75"/>
    <w:rsid w:val="00E16F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A868C"/>
  <w15:docId w15:val="{4FA6D108-2F1A-41F8-9459-78B2FC5C0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8" w:lineRule="auto"/>
      <w:ind w:left="10"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7" w:hanging="10"/>
      <w:jc w:val="center"/>
      <w:outlineLvl w:val="0"/>
    </w:pPr>
    <w:rPr>
      <w:rFonts w:ascii="Bookman Old Style" w:eastAsia="Bookman Old Style" w:hAnsi="Bookman Old Style" w:cs="Bookman Old Style"/>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790416"/>
    <w:pPr>
      <w:spacing w:line="240" w:lineRule="auto"/>
      <w:ind w:lef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790416"/>
    <w:rPr>
      <w:rFonts w:ascii="Times New Roman" w:eastAsia="Times New Roman" w:hAnsi="Times New Roman" w:cs="Times New Roman"/>
      <w:sz w:val="24"/>
      <w:szCs w:val="20"/>
      <w:lang w:val="x-none" w:eastAsia="x-none"/>
    </w:rPr>
  </w:style>
  <w:style w:type="paragraph" w:styleId="Textodebalo">
    <w:name w:val="Balloon Text"/>
    <w:basedOn w:val="Normal"/>
    <w:link w:val="TextodebaloChar"/>
    <w:uiPriority w:val="99"/>
    <w:semiHidden/>
    <w:unhideWhenUsed/>
    <w:rsid w:val="00D27F75"/>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27F75"/>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293</Words>
  <Characters>1587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subject/>
  <dc:creator>SETOR 0000X</dc:creator>
  <cp:keywords/>
  <cp:lastModifiedBy>Windows</cp:lastModifiedBy>
  <cp:revision>14</cp:revision>
  <cp:lastPrinted>2021-02-11T14:17:00Z</cp:lastPrinted>
  <dcterms:created xsi:type="dcterms:W3CDTF">2021-02-09T14:29:00Z</dcterms:created>
  <dcterms:modified xsi:type="dcterms:W3CDTF">2023-01-11T11:42:00Z</dcterms:modified>
</cp:coreProperties>
</file>