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A4" w:rsidRDefault="00863EA4" w:rsidP="00494BE8">
      <w:pPr>
        <w:spacing w:after="0" w:line="259" w:lineRule="auto"/>
        <w:ind w:left="10" w:right="0" w:firstLine="0"/>
        <w:jc w:val="left"/>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662642" w:rsidRPr="00054A49" w:rsidRDefault="00662642" w:rsidP="00662642">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sidR="003F190E">
        <w:rPr>
          <w:rFonts w:ascii="Times New Roman" w:hAnsi="Times New Roman" w:cs="Times New Roman"/>
          <w:b/>
          <w:sz w:val="22"/>
        </w:rPr>
        <w:t>136/2022</w:t>
      </w:r>
      <w:r w:rsidRPr="00054A49">
        <w:rPr>
          <w:rFonts w:ascii="Times New Roman" w:hAnsi="Times New Roman" w:cs="Times New Roman"/>
          <w:b/>
          <w:sz w:val="22"/>
        </w:rPr>
        <w:t xml:space="preserve"> </w:t>
      </w:r>
    </w:p>
    <w:p w:rsidR="004D1970" w:rsidRPr="00904058" w:rsidRDefault="00662642" w:rsidP="00904058">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3F190E">
        <w:rPr>
          <w:rFonts w:ascii="Times New Roman" w:hAnsi="Times New Roman" w:cs="Times New Roman"/>
          <w:b/>
          <w:sz w:val="22"/>
        </w:rPr>
        <w:t>62/2022</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904058" w:rsidP="00662642">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100</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904058">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494BE8">
        <w:rPr>
          <w:rFonts w:ascii="Times New Roman" w:hAnsi="Times New Roman" w:cs="Times New Roman"/>
          <w:sz w:val="22"/>
        </w:rPr>
        <w:t xml:space="preserve"> </w:t>
      </w:r>
      <w:r w:rsidRPr="007A544E">
        <w:rPr>
          <w:rFonts w:ascii="Times New Roman" w:hAnsi="Times New Roman" w:cs="Times New Roman"/>
          <w:sz w:val="22"/>
        </w:rPr>
        <w:t>empresa</w:t>
      </w:r>
      <w:r w:rsidR="00904058">
        <w:rPr>
          <w:rFonts w:ascii="Times New Roman" w:hAnsi="Times New Roman" w:cs="Times New Roman"/>
          <w:sz w:val="22"/>
        </w:rPr>
        <w:t xml:space="preserve"> </w:t>
      </w:r>
      <w:r w:rsidR="00904058" w:rsidRPr="005E6154">
        <w:rPr>
          <w:rFonts w:ascii="Times New Roman" w:hAnsi="Times New Roman" w:cs="Times New Roman"/>
          <w:b/>
          <w:sz w:val="22"/>
        </w:rPr>
        <w:t>LETICIA MARIA PALHARIM AGROPECUARIA</w:t>
      </w:r>
      <w:r w:rsidRPr="007A544E">
        <w:rPr>
          <w:rFonts w:ascii="Times New Roman" w:hAnsi="Times New Roman" w:cs="Times New Roman"/>
          <w:sz w:val="22"/>
        </w:rPr>
        <w:t xml:space="preserve">, inscrita no CNPJ sob nº </w:t>
      </w:r>
      <w:r w:rsidR="00904058">
        <w:rPr>
          <w:rFonts w:ascii="Times New Roman" w:hAnsi="Times New Roman" w:cs="Times New Roman"/>
          <w:sz w:val="22"/>
        </w:rPr>
        <w:t>31.047.654/0001-02</w:t>
      </w:r>
      <w:r w:rsidRPr="007A544E">
        <w:rPr>
          <w:rFonts w:ascii="Times New Roman" w:hAnsi="Times New Roman" w:cs="Times New Roman"/>
          <w:sz w:val="22"/>
        </w:rPr>
        <w:t xml:space="preserve">, com sede na </w:t>
      </w:r>
      <w:r w:rsidR="00904058">
        <w:rPr>
          <w:rFonts w:ascii="Times New Roman" w:hAnsi="Times New Roman" w:cs="Times New Roman"/>
          <w:sz w:val="22"/>
        </w:rPr>
        <w:t>Rua Altair José Motta, n° 362, Bairro Fraron em Pato Branco/PR, CEP: 85.503-353</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904058">
        <w:rPr>
          <w:rFonts w:ascii="Times New Roman" w:hAnsi="Times New Roman" w:cs="Times New Roman"/>
          <w:sz w:val="22"/>
        </w:rPr>
        <w:t xml:space="preserve"> Antônio Magri</w:t>
      </w:r>
      <w:r w:rsidRPr="007A544E">
        <w:rPr>
          <w:rFonts w:ascii="Times New Roman" w:hAnsi="Times New Roman" w:cs="Times New Roman"/>
          <w:sz w:val="22"/>
        </w:rPr>
        <w:t xml:space="preserve">, inscrito no CPF sob nº </w:t>
      </w:r>
      <w:r w:rsidR="00904058">
        <w:rPr>
          <w:rFonts w:ascii="Times New Roman" w:hAnsi="Times New Roman" w:cs="Times New Roman"/>
          <w:sz w:val="22"/>
        </w:rPr>
        <w:t>024.299.179-39</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904058">
        <w:rPr>
          <w:rFonts w:ascii="Times New Roman" w:hAnsi="Times New Roman" w:cs="Times New Roman"/>
          <w:color w:val="FF0000"/>
          <w:sz w:val="22"/>
        </w:rPr>
        <w:t xml:space="preserve">R$ </w:t>
      </w:r>
      <w:r w:rsidR="00904058" w:rsidRPr="00904058">
        <w:rPr>
          <w:rFonts w:ascii="Times New Roman" w:hAnsi="Times New Roman" w:cs="Times New Roman"/>
          <w:color w:val="FF0000"/>
          <w:sz w:val="22"/>
        </w:rPr>
        <w:t>42.600,00</w:t>
      </w:r>
      <w:r w:rsidR="002371CA" w:rsidRPr="007A544E">
        <w:rPr>
          <w:rFonts w:ascii="Times New Roman" w:hAnsi="Times New Roman" w:cs="Times New Roman"/>
          <w:color w:val="FF0000"/>
          <w:sz w:val="22"/>
        </w:rPr>
        <w:t xml:space="preserve"> (</w:t>
      </w:r>
      <w:r w:rsidR="00904058">
        <w:rPr>
          <w:rFonts w:ascii="Times New Roman" w:hAnsi="Times New Roman" w:cs="Times New Roman"/>
          <w:color w:val="FF0000"/>
          <w:sz w:val="22"/>
        </w:rPr>
        <w:t>Quarenta e dois mil e seiscentos reais</w:t>
      </w:r>
      <w:r w:rsidR="002371CA" w:rsidRPr="007A544E">
        <w:rPr>
          <w:rFonts w:ascii="Times New Roman" w:hAnsi="Times New Roman" w:cs="Times New Roman"/>
          <w:color w:val="FF0000"/>
          <w:sz w:val="22"/>
        </w:rPr>
        <w:t>)</w:t>
      </w:r>
      <w:r w:rsidR="00904058">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2.053</w:t>
      </w:r>
      <w:r w:rsidR="00097177" w:rsidRPr="00097177">
        <w:rPr>
          <w:rFonts w:ascii="Times New Roman" w:hAnsi="Times New Roman" w:cs="Times New Roman"/>
          <w:sz w:val="22"/>
          <w:highlight w:val="yellow"/>
        </w:rPr>
        <w:t xml:space="preserve"> – Elemento 3.3.</w:t>
      </w:r>
      <w:r w:rsidR="00097177" w:rsidRPr="00DC5B37">
        <w:rPr>
          <w:rFonts w:ascii="Times New Roman" w:hAnsi="Times New Roman" w:cs="Times New Roman"/>
          <w:sz w:val="22"/>
          <w:highlight w:val="yellow"/>
        </w:rPr>
        <w:t>90</w:t>
      </w:r>
      <w:bookmarkStart w:id="0" w:name="_GoBack"/>
      <w:bookmarkEnd w:id="0"/>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lastRenderedPageBreak/>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lastRenderedPageBreak/>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pela 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atuará como representante institucional,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w:t>
      </w:r>
      <w:r w:rsidRPr="007A544E">
        <w:rPr>
          <w:rFonts w:ascii="Times New Roman" w:hAnsi="Times New Roman" w:cs="Times New Roman"/>
          <w:sz w:val="22"/>
          <w:lang w:eastAsia="en-US"/>
        </w:rPr>
        <w:lastRenderedPageBreak/>
        <w:t>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494BE8">
        <w:rPr>
          <w:rFonts w:ascii="Times New Roman" w:hAnsi="Times New Roman" w:cs="Times New Roman"/>
          <w:color w:val="FF0000"/>
          <w:sz w:val="22"/>
        </w:rPr>
        <w:t>Preço nº 62</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5E6154">
        <w:rPr>
          <w:rFonts w:ascii="Times New Roman" w:hAnsi="Times New Roman" w:cs="Times New Roman"/>
          <w:color w:val="FF0000"/>
          <w:sz w:val="22"/>
        </w:rPr>
        <w:t>ta/</w:t>
      </w:r>
      <w:r w:rsidR="002A1462" w:rsidRPr="007A544E">
        <w:rPr>
          <w:rFonts w:ascii="Times New Roman" w:hAnsi="Times New Roman" w:cs="Times New Roman"/>
          <w:color w:val="FF0000"/>
          <w:sz w:val="22"/>
        </w:rPr>
        <w:t xml:space="preserve">SC, </w:t>
      </w:r>
      <w:r w:rsidR="00494BE8">
        <w:rPr>
          <w:rFonts w:ascii="Times New Roman" w:hAnsi="Times New Roman" w:cs="Times New Roman"/>
          <w:color w:val="FF0000"/>
          <w:sz w:val="22"/>
        </w:rPr>
        <w:t>02 de setembro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w:t>
      </w:r>
      <w:r w:rsidR="005E6154">
        <w:rPr>
          <w:rFonts w:ascii="Times New Roman" w:hAnsi="Times New Roman" w:cs="Times New Roman"/>
          <w:b/>
          <w:sz w:val="22"/>
        </w:rPr>
        <w:t>___________________</w:t>
      </w:r>
      <w:r w:rsidRPr="007A544E">
        <w:rPr>
          <w:rFonts w:ascii="Times New Roman" w:hAnsi="Times New Roman" w:cs="Times New Roman"/>
          <w:b/>
          <w:sz w:val="22"/>
        </w:rPr>
        <w:t>_________________</w:t>
      </w:r>
    </w:p>
    <w:p w:rsidR="005E6154" w:rsidRDefault="005E6154" w:rsidP="002A1462">
      <w:pPr>
        <w:pStyle w:val="Ttulo1"/>
        <w:ind w:left="0" w:right="88"/>
        <w:jc w:val="center"/>
        <w:rPr>
          <w:rFonts w:ascii="Times New Roman" w:hAnsi="Times New Roman" w:cs="Times New Roman"/>
          <w:sz w:val="22"/>
        </w:rPr>
      </w:pPr>
      <w:r w:rsidRPr="005E6154">
        <w:rPr>
          <w:rFonts w:ascii="Times New Roman" w:hAnsi="Times New Roman" w:cs="Times New Roman"/>
          <w:b w:val="0"/>
          <w:sz w:val="22"/>
        </w:rPr>
        <w:t>LETICIA MARIA PALHARIM AGROPECUARIA</w:t>
      </w:r>
    </w:p>
    <w:p w:rsidR="005E6154" w:rsidRDefault="005E6154" w:rsidP="002A1462">
      <w:pPr>
        <w:pStyle w:val="Ttulo1"/>
        <w:ind w:left="0" w:right="88"/>
        <w:jc w:val="center"/>
        <w:rPr>
          <w:rFonts w:ascii="Times New Roman" w:hAnsi="Times New Roman" w:cs="Times New Roman"/>
          <w:sz w:val="22"/>
        </w:rPr>
      </w:pPr>
      <w:r>
        <w:rPr>
          <w:rFonts w:ascii="Times New Roman" w:hAnsi="Times New Roman" w:cs="Times New Roman"/>
          <w:sz w:val="22"/>
        </w:rPr>
        <w:t>Antônio Magri</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70929">
        <w:rPr>
          <w:rFonts w:ascii="Times New Roman" w:hAnsi="Times New Roman" w:cs="Times New Roman"/>
          <w:sz w:val="22"/>
        </w:rPr>
        <w:t>Maria Eduarda Nichetti</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085.071.749-30</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CDE" w:rsidRDefault="00546CDE">
      <w:pPr>
        <w:spacing w:after="0" w:line="240" w:lineRule="auto"/>
      </w:pPr>
      <w:r>
        <w:separator/>
      </w:r>
    </w:p>
  </w:endnote>
  <w:endnote w:type="continuationSeparator" w:id="0">
    <w:p w:rsidR="00546CDE" w:rsidRDefault="0054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76F0F" w:rsidRPr="00E76F0F">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E6154" w:rsidRPr="005E6154">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5E6154" w:rsidRPr="005E6154">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277" w:firstLine="0"/>
      <w:jc w:val="center"/>
    </w:pPr>
    <w:r>
      <w:rPr>
        <w:b/>
        <w:sz w:val="16"/>
      </w:rPr>
      <w:t xml:space="preserve">RUA CELSO TOZZO, 27 CEP: 89.819-000 – FONE: (49) 3358-9100 – CORDILHEIRA ALTA – SC </w:t>
    </w:r>
  </w:p>
  <w:p w:rsidR="00546CDE" w:rsidRDefault="00546CDE">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E6154" w:rsidRPr="005E615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5E6154" w:rsidRPr="005E6154">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546CDE" w:rsidRDefault="00546CDE">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CDE" w:rsidRDefault="00546CDE">
      <w:pPr>
        <w:spacing w:after="0" w:line="240" w:lineRule="auto"/>
      </w:pPr>
      <w:r>
        <w:separator/>
      </w:r>
    </w:p>
  </w:footnote>
  <w:footnote w:type="continuationSeparator" w:id="0">
    <w:p w:rsidR="00546CDE" w:rsidRDefault="0054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CDE" w:rsidRDefault="00546CDE">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46CDE" w:rsidRDefault="00546CDE">
    <w:pPr>
      <w:spacing w:after="216" w:line="259" w:lineRule="auto"/>
      <w:ind w:left="4" w:right="0" w:firstLine="0"/>
      <w:jc w:val="center"/>
      <w:rPr>
        <w:b/>
      </w:rPr>
    </w:pPr>
  </w:p>
  <w:p w:rsidR="00546CDE" w:rsidRDefault="00546CDE">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318F"/>
    <w:rsid w:val="00146D47"/>
    <w:rsid w:val="001708CC"/>
    <w:rsid w:val="00184CCF"/>
    <w:rsid w:val="00196E60"/>
    <w:rsid w:val="001B196E"/>
    <w:rsid w:val="001B56ED"/>
    <w:rsid w:val="001C5D6F"/>
    <w:rsid w:val="001C666B"/>
    <w:rsid w:val="001C75AA"/>
    <w:rsid w:val="0020446B"/>
    <w:rsid w:val="0020654D"/>
    <w:rsid w:val="00206A6A"/>
    <w:rsid w:val="00212D65"/>
    <w:rsid w:val="002371CA"/>
    <w:rsid w:val="0025538C"/>
    <w:rsid w:val="00255D49"/>
    <w:rsid w:val="00266A26"/>
    <w:rsid w:val="0028136D"/>
    <w:rsid w:val="002A1462"/>
    <w:rsid w:val="002B3697"/>
    <w:rsid w:val="002D1E64"/>
    <w:rsid w:val="002D4BEC"/>
    <w:rsid w:val="002F01F7"/>
    <w:rsid w:val="00307BD3"/>
    <w:rsid w:val="00310E47"/>
    <w:rsid w:val="00313A41"/>
    <w:rsid w:val="00346800"/>
    <w:rsid w:val="003613BD"/>
    <w:rsid w:val="003678BF"/>
    <w:rsid w:val="00367C06"/>
    <w:rsid w:val="0039401B"/>
    <w:rsid w:val="003A1BE8"/>
    <w:rsid w:val="003A6FC2"/>
    <w:rsid w:val="003B2234"/>
    <w:rsid w:val="003C0864"/>
    <w:rsid w:val="003F0594"/>
    <w:rsid w:val="003F0B27"/>
    <w:rsid w:val="003F190E"/>
    <w:rsid w:val="0040159A"/>
    <w:rsid w:val="0040509F"/>
    <w:rsid w:val="00450574"/>
    <w:rsid w:val="004528B7"/>
    <w:rsid w:val="004630A0"/>
    <w:rsid w:val="004645D5"/>
    <w:rsid w:val="00467A17"/>
    <w:rsid w:val="0048295C"/>
    <w:rsid w:val="00490508"/>
    <w:rsid w:val="00494BE8"/>
    <w:rsid w:val="004B51DA"/>
    <w:rsid w:val="004D1970"/>
    <w:rsid w:val="00507711"/>
    <w:rsid w:val="00520425"/>
    <w:rsid w:val="00531926"/>
    <w:rsid w:val="00534A43"/>
    <w:rsid w:val="00546CDE"/>
    <w:rsid w:val="00557DD5"/>
    <w:rsid w:val="00561736"/>
    <w:rsid w:val="005768EE"/>
    <w:rsid w:val="0058664F"/>
    <w:rsid w:val="005C436F"/>
    <w:rsid w:val="005D0848"/>
    <w:rsid w:val="005E6154"/>
    <w:rsid w:val="005F73FB"/>
    <w:rsid w:val="00613D84"/>
    <w:rsid w:val="00617E01"/>
    <w:rsid w:val="00662642"/>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04058"/>
    <w:rsid w:val="00911C22"/>
    <w:rsid w:val="00917A36"/>
    <w:rsid w:val="0092763A"/>
    <w:rsid w:val="009323B2"/>
    <w:rsid w:val="0093633C"/>
    <w:rsid w:val="00962A90"/>
    <w:rsid w:val="0096565A"/>
    <w:rsid w:val="00971CD8"/>
    <w:rsid w:val="00977364"/>
    <w:rsid w:val="00995240"/>
    <w:rsid w:val="009965F1"/>
    <w:rsid w:val="00996B67"/>
    <w:rsid w:val="009B7E7E"/>
    <w:rsid w:val="009C508A"/>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3B6B"/>
    <w:rsid w:val="00CC5F3D"/>
    <w:rsid w:val="00CD49D2"/>
    <w:rsid w:val="00CF0E9D"/>
    <w:rsid w:val="00D365B2"/>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B7FB7"/>
    <w:rsid w:val="00EC3EA1"/>
    <w:rsid w:val="00ED16F4"/>
    <w:rsid w:val="00ED4099"/>
    <w:rsid w:val="00ED7612"/>
    <w:rsid w:val="00F16D3D"/>
    <w:rsid w:val="00F2465E"/>
    <w:rsid w:val="00F309EE"/>
    <w:rsid w:val="00F34F1D"/>
    <w:rsid w:val="00F4357A"/>
    <w:rsid w:val="00F66864"/>
    <w:rsid w:val="00F7589C"/>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5835189"/>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1282</TotalTime>
  <Pages>5</Pages>
  <Words>2153</Words>
  <Characters>11632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167</cp:revision>
  <cp:lastPrinted>2022-08-12T11:26:00Z</cp:lastPrinted>
  <dcterms:created xsi:type="dcterms:W3CDTF">2021-02-15T11:42:00Z</dcterms:created>
  <dcterms:modified xsi:type="dcterms:W3CDTF">2022-09-02T16:15:00Z</dcterms:modified>
</cp:coreProperties>
</file>