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E0B7A">
        <w:rPr>
          <w:rFonts w:ascii="Times New Roman" w:hAnsi="Times New Roman" w:cs="Times New Roman"/>
          <w:b/>
          <w:color w:val="FF0000"/>
          <w:sz w:val="22"/>
        </w:rPr>
        <w:t>81</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3E0B7A">
        <w:rPr>
          <w:rFonts w:ascii="Times New Roman" w:hAnsi="Times New Roman" w:cs="Times New Roman"/>
          <w:b/>
          <w:color w:val="FF0000"/>
          <w:sz w:val="22"/>
        </w:rPr>
        <w:t>37</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8">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9">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734CBF">
        <w:rPr>
          <w:rFonts w:ascii="Times New Roman" w:hAnsi="Times New Roman" w:cs="Times New Roman"/>
          <w:b/>
          <w:sz w:val="22"/>
          <w:highlight w:val="yellow"/>
        </w:rPr>
        <w:t>08/06</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10">
        <w:r w:rsidRPr="001C0AE1">
          <w:rPr>
            <w:rFonts w:ascii="Times New Roman" w:hAnsi="Times New Roman" w:cs="Times New Roman"/>
            <w:sz w:val="22"/>
          </w:rPr>
          <w:t xml:space="preserve"> </w:t>
        </w:r>
      </w:hyperlink>
      <w:hyperlink r:id="rId11">
        <w:r w:rsidRPr="001C0AE1">
          <w:rPr>
            <w:rFonts w:ascii="Times New Roman" w:hAnsi="Times New Roman" w:cs="Times New Roman"/>
            <w:color w:val="0563C1"/>
            <w:sz w:val="22"/>
            <w:u w:val="single" w:color="0000FF"/>
          </w:rPr>
          <w:t>www.bll.org.br</w:t>
        </w:r>
      </w:hyperlink>
      <w:hyperlink r:id="rId12">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734CBF">
        <w:rPr>
          <w:rFonts w:ascii="Times New Roman" w:hAnsi="Times New Roman" w:cs="Times New Roman"/>
          <w:b/>
          <w:sz w:val="22"/>
          <w:highlight w:val="yellow"/>
        </w:rPr>
        <w:t>24</w:t>
      </w:r>
      <w:r w:rsidR="000B615F">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734CBF">
        <w:rPr>
          <w:rFonts w:ascii="Times New Roman" w:hAnsi="Times New Roman" w:cs="Times New Roman"/>
          <w:b/>
          <w:sz w:val="22"/>
          <w:highlight w:val="yellow"/>
        </w:rPr>
        <w:t>08/06</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7327B" w:rsidRPr="00C7327B">
        <w:rPr>
          <w:rFonts w:ascii="Times New Roman" w:hAnsi="Times New Roman" w:cs="Times New Roman"/>
          <w:color w:val="FF0000"/>
          <w:sz w:val="22"/>
          <w:u w:val="none"/>
        </w:rPr>
        <w:t>REGISTRO DE PREÇOS PARA POSSÍVEL E FUTURA AQUISIÇÃO DE</w:t>
      </w:r>
      <w:r w:rsidR="00DB0378">
        <w:rPr>
          <w:rFonts w:ascii="Times New Roman" w:hAnsi="Times New Roman" w:cs="Times New Roman"/>
          <w:color w:val="FF0000"/>
          <w:sz w:val="22"/>
          <w:u w:val="none"/>
        </w:rPr>
        <w:t xml:space="preserve"> </w:t>
      </w:r>
      <w:r w:rsidR="000B615F">
        <w:rPr>
          <w:rFonts w:ascii="Times New Roman" w:hAnsi="Times New Roman" w:cs="Times New Roman"/>
          <w:color w:val="FF0000"/>
          <w:sz w:val="22"/>
          <w:u w:val="none"/>
        </w:rPr>
        <w:t>MATERIAIS ESCOLARES EM ATENDIMENTO AS NECESSIDADES DA REDE MUNICIPAL DE EDUCAÇÃO DO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1C0AE1">
          <w:rPr>
            <w:rFonts w:ascii="Times New Roman" w:hAnsi="Times New Roman" w:cs="Times New Roman"/>
            <w:color w:val="0000FF"/>
            <w:sz w:val="22"/>
            <w:u w:val="single" w:color="0000FF"/>
          </w:rPr>
          <w:t>www.bll.org.b</w:t>
        </w:r>
      </w:hyperlink>
      <w:hyperlink r:id="rId14">
        <w:r w:rsidRPr="001C0AE1">
          <w:rPr>
            <w:rFonts w:ascii="Times New Roman" w:hAnsi="Times New Roman" w:cs="Times New Roman"/>
            <w:color w:val="0000FF"/>
            <w:sz w:val="22"/>
            <w:u w:val="single" w:color="0000FF"/>
          </w:rPr>
          <w:t>r</w:t>
        </w:r>
      </w:hyperlink>
      <w:hyperlink r:id="rId15">
        <w:r w:rsidRPr="001C0AE1">
          <w:rPr>
            <w:rFonts w:ascii="Times New Roman" w:hAnsi="Times New Roman" w:cs="Times New Roman"/>
            <w:sz w:val="22"/>
          </w:rPr>
          <w:t>.</w:t>
        </w:r>
      </w:hyperlink>
      <w:hyperlink r:id="rId16">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8">
        <w:r w:rsidRPr="001C0AE1">
          <w:rPr>
            <w:rFonts w:ascii="Times New Roman" w:hAnsi="Times New Roman" w:cs="Times New Roman"/>
            <w:color w:val="0563C1"/>
            <w:sz w:val="22"/>
            <w:u w:val="single" w:color="0000FF"/>
          </w:rPr>
          <w:t>www.bll.org.br</w:t>
        </w:r>
      </w:hyperlink>
      <w:hyperlink r:id="rId19">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20">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lastRenderedPageBreak/>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1"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2">
        <w:r w:rsidR="001B56ED" w:rsidRPr="001C0AE1">
          <w:rPr>
            <w:rFonts w:ascii="Times New Roman" w:hAnsi="Times New Roman" w:cs="Times New Roman"/>
            <w:color w:val="0563C1"/>
            <w:sz w:val="22"/>
            <w:u w:val="single" w:color="0563C1"/>
          </w:rPr>
          <w:t>https://certidoes</w:t>
        </w:r>
      </w:hyperlink>
      <w:hyperlink r:id="rId23">
        <w:r w:rsidR="001B56ED" w:rsidRPr="001C0AE1">
          <w:rPr>
            <w:rFonts w:ascii="Times New Roman" w:hAnsi="Times New Roman" w:cs="Times New Roman"/>
            <w:color w:val="0563C1"/>
            <w:sz w:val="22"/>
            <w:u w:val="single" w:color="0563C1"/>
          </w:rPr>
          <w:t>-</w:t>
        </w:r>
      </w:hyperlink>
      <w:hyperlink r:id="rId24">
        <w:r w:rsidR="001B56ED" w:rsidRPr="001C0AE1">
          <w:rPr>
            <w:rFonts w:ascii="Times New Roman" w:hAnsi="Times New Roman" w:cs="Times New Roman"/>
            <w:color w:val="0563C1"/>
            <w:sz w:val="22"/>
            <w:u w:val="single" w:color="0563C1"/>
          </w:rPr>
          <w:t>apf.apps.tcu.gov.br/</w:t>
        </w:r>
      </w:hyperlink>
      <w:hyperlink r:id="rId25">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lastRenderedPageBreak/>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lastRenderedPageBreak/>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lastRenderedPageBreak/>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2D5377" w:rsidRPr="00B53DFD">
        <w:rPr>
          <w:rFonts w:ascii="Times New Roman" w:hAnsi="Times New Roman" w:cs="Times New Roman"/>
          <w:sz w:val="22"/>
        </w:rPr>
        <w:t xml:space="preserve">(Projeto </w:t>
      </w:r>
      <w:r w:rsidR="002D5377" w:rsidRPr="00B53DFD">
        <w:rPr>
          <w:rFonts w:ascii="Times New Roman" w:hAnsi="Times New Roman" w:cs="Times New Roman"/>
          <w:b/>
          <w:sz w:val="22"/>
        </w:rPr>
        <w:t>Atividade 2.094, 2.089, 2.013 – Elemento 3.3.90</w:t>
      </w:r>
      <w:r w:rsidR="002D5377" w:rsidRPr="00B53DFD">
        <w:rPr>
          <w:rFonts w:ascii="Times New Roman" w:hAnsi="Times New Roman" w:cs="Times New Roman"/>
          <w:sz w:val="22"/>
        </w:rPr>
        <w:t>, prevista na Lei Orçamentária do Exercício de 2022</w:t>
      </w:r>
      <w:r w:rsidR="002D5377"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w:t>
      </w:r>
      <w:r w:rsidRPr="001C0AE1">
        <w:rPr>
          <w:rFonts w:ascii="Times New Roman" w:hAnsi="Times New Roman" w:cs="Times New Roman"/>
          <w:sz w:val="22"/>
        </w:rPr>
        <w:lastRenderedPageBreak/>
        <w:t xml:space="preserve">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w:t>
      </w:r>
      <w:r w:rsidRPr="001C0AE1">
        <w:rPr>
          <w:rFonts w:ascii="Times New Roman" w:hAnsi="Times New Roman" w:cs="Times New Roman"/>
          <w:sz w:val="22"/>
        </w:rPr>
        <w:lastRenderedPageBreak/>
        <w:t xml:space="preserve">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7">
        <w:r w:rsidRPr="001C0AE1">
          <w:rPr>
            <w:rFonts w:ascii="Times New Roman" w:hAnsi="Times New Roman" w:cs="Times New Roman"/>
            <w:sz w:val="22"/>
            <w:u w:val="single" w:color="000000"/>
          </w:rPr>
          <w:t>www.diariomunicipal.sc.gov.br</w:t>
        </w:r>
      </w:hyperlink>
      <w:hyperlink r:id="rId28">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734CBF">
        <w:rPr>
          <w:rFonts w:ascii="Times New Roman" w:hAnsi="Times New Roman" w:cs="Times New Roman"/>
          <w:color w:val="FF0000"/>
          <w:sz w:val="22"/>
        </w:rPr>
        <w:t>23</w:t>
      </w:r>
      <w:r w:rsidR="000B615F">
        <w:rPr>
          <w:rFonts w:ascii="Times New Roman" w:hAnsi="Times New Roman" w:cs="Times New Roman"/>
          <w:color w:val="FF0000"/>
          <w:sz w:val="22"/>
        </w:rPr>
        <w:t xml:space="preserve"> de maio</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0B615F" w:rsidRDefault="000B615F" w:rsidP="00A97F9A">
      <w:pPr>
        <w:spacing w:after="109" w:line="250" w:lineRule="auto"/>
        <w:ind w:left="0" w:right="0" w:hanging="10"/>
        <w:jc w:val="center"/>
        <w:rPr>
          <w:rFonts w:ascii="Times New Roman" w:hAnsi="Times New Roman" w:cs="Times New Roman"/>
          <w:sz w:val="22"/>
        </w:rPr>
      </w:pPr>
    </w:p>
    <w:p w:rsidR="000B615F" w:rsidRDefault="000B615F" w:rsidP="00A97F9A">
      <w:pPr>
        <w:spacing w:after="109" w:line="250" w:lineRule="auto"/>
        <w:ind w:left="0" w:right="0" w:hanging="10"/>
        <w:jc w:val="center"/>
        <w:rPr>
          <w:rFonts w:ascii="Times New Roman" w:hAnsi="Times New Roman" w:cs="Times New Roman"/>
          <w:sz w:val="22"/>
        </w:rPr>
      </w:pPr>
    </w:p>
    <w:p w:rsidR="00A97F9A" w:rsidRPr="001C0AE1" w:rsidRDefault="00A97F9A"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sidR="003E0B7A">
        <w:rPr>
          <w:rFonts w:ascii="Times New Roman" w:hAnsi="Times New Roman" w:cs="Times New Roman"/>
          <w:b/>
          <w:color w:val="FF0000"/>
          <w:sz w:val="22"/>
        </w:rPr>
        <w:t>81</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3E0B7A">
        <w:rPr>
          <w:rFonts w:ascii="Times New Roman" w:hAnsi="Times New Roman" w:cs="Times New Roman"/>
          <w:b/>
          <w:color w:val="FF0000"/>
          <w:sz w:val="22"/>
        </w:rPr>
        <w:t>37</w:t>
      </w:r>
      <w:r w:rsidR="00464D4F">
        <w:rPr>
          <w:rFonts w:ascii="Times New Roman" w:hAnsi="Times New Roman" w:cs="Times New Roman"/>
          <w:b/>
          <w:color w:val="FF0000"/>
          <w:sz w:val="22"/>
        </w:rPr>
        <w:t>/2022</w:t>
      </w:r>
    </w:p>
    <w:p w:rsidR="000B615F" w:rsidRPr="001C0AE1" w:rsidRDefault="000B615F"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99690A" w:rsidRPr="000B615F" w:rsidRDefault="000B615F" w:rsidP="000B615F">
      <w:pPr>
        <w:pStyle w:val="Ttulo1"/>
        <w:ind w:left="355" w:right="88"/>
        <w:rPr>
          <w:rFonts w:ascii="Times New Roman" w:hAnsi="Times New Roman" w:cs="Times New Roman"/>
          <w:sz w:val="22"/>
        </w:rPr>
      </w:pPr>
      <w:r>
        <w:rPr>
          <w:rFonts w:ascii="Times New Roman" w:hAnsi="Times New Roman" w:cs="Times New Roman"/>
          <w:sz w:val="22"/>
        </w:rPr>
        <w:t>1.OBJETO:</w:t>
      </w:r>
      <w:r>
        <w:rPr>
          <w:rFonts w:ascii="Times New Roman" w:eastAsiaTheme="minorHAnsi" w:hAnsi="Times New Roman" w:cs="Times New Roman"/>
          <w:bCs/>
          <w:color w:val="FF0000"/>
          <w:sz w:val="22"/>
        </w:rPr>
        <w:t xml:space="preserve"> </w:t>
      </w:r>
      <w:r w:rsidRPr="00C7327B">
        <w:rPr>
          <w:rFonts w:ascii="Times New Roman" w:hAnsi="Times New Roman" w:cs="Times New Roman"/>
          <w:color w:val="FF0000"/>
          <w:sz w:val="22"/>
        </w:rPr>
        <w:t>REGISTRO DE PREÇOS PARA POSSÍVEL E FUTURA AQUISIÇÃO DE</w:t>
      </w:r>
      <w:r>
        <w:rPr>
          <w:rFonts w:ascii="Times New Roman" w:hAnsi="Times New Roman" w:cs="Times New Roman"/>
          <w:color w:val="FF0000"/>
          <w:sz w:val="22"/>
        </w:rPr>
        <w:t xml:space="preserve"> MATERIAIS ESCOLARES EM ATENDIMENTO AS NECESSIDADES DA REDE MUNICIPAL DE EDUCAÇÃO DO MUNICÍPIO DE CORDILHEIRA ALTA/SC</w:t>
      </w:r>
      <w:r w:rsidR="005B0E37" w:rsidRPr="00500A4F">
        <w:rPr>
          <w:rFonts w:ascii="Times New Roman" w:hAnsi="Times New Roman" w:cs="Times New Roman"/>
          <w:sz w:val="22"/>
        </w:rPr>
        <w:t>, conforme descrição e quantidade estabelecida no quatro abaixo:</w:t>
      </w: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FC7BA3" w:rsidP="00E33F4A">
      <w:pPr>
        <w:spacing w:after="4"/>
        <w:ind w:left="345" w:right="88" w:firstLine="0"/>
        <w:rPr>
          <w:rFonts w:ascii="Times New Roman" w:hAnsi="Times New Roman" w:cs="Times New Roman"/>
          <w:b/>
          <w:sz w:val="22"/>
        </w:rPr>
      </w:pPr>
      <w:r w:rsidRPr="00FC7BA3">
        <w:rPr>
          <w:rFonts w:ascii="Times New Roman" w:hAnsi="Times New Roman" w:cs="Times New Roman"/>
          <w:b/>
          <w:noProof/>
          <w:sz w:val="22"/>
        </w:rPr>
        <w:drawing>
          <wp:inline distT="0" distB="0" distL="0" distR="0" wp14:anchorId="26461130" wp14:editId="269743AB">
            <wp:extent cx="5951855" cy="419163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4191635"/>
                    </a:xfrm>
                    <a:prstGeom prst="rect">
                      <a:avLst/>
                    </a:prstGeom>
                  </pic:spPr>
                </pic:pic>
              </a:graphicData>
            </a:graphic>
          </wp:inline>
        </w:drawing>
      </w:r>
    </w:p>
    <w:p w:rsidR="008B26F8" w:rsidRDefault="008B26F8" w:rsidP="00E33F4A">
      <w:pPr>
        <w:spacing w:after="4"/>
        <w:ind w:left="345" w:right="88" w:firstLine="0"/>
        <w:rPr>
          <w:rFonts w:ascii="Times New Roman" w:hAnsi="Times New Roman" w:cs="Times New Roman"/>
          <w:b/>
          <w:sz w:val="22"/>
        </w:rPr>
      </w:pPr>
    </w:p>
    <w:p w:rsidR="008B26F8" w:rsidRDefault="008B26F8" w:rsidP="00E33F4A">
      <w:pPr>
        <w:spacing w:after="4"/>
        <w:ind w:left="345" w:right="88" w:firstLine="0"/>
        <w:rPr>
          <w:rFonts w:ascii="Times New Roman" w:hAnsi="Times New Roman" w:cs="Times New Roman"/>
          <w:b/>
          <w:sz w:val="22"/>
        </w:rPr>
      </w:pPr>
    </w:p>
    <w:p w:rsidR="008B26F8" w:rsidRDefault="008B26F8"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E33F4A" w:rsidRDefault="00E33F4A" w:rsidP="00E33F4A">
      <w:pPr>
        <w:spacing w:after="4"/>
        <w:ind w:left="345" w:right="88" w:firstLine="0"/>
        <w:rPr>
          <w:rFonts w:ascii="Times New Roman" w:hAnsi="Times New Roman" w:cs="Times New Roman"/>
          <w:b/>
          <w:sz w:val="22"/>
        </w:rPr>
      </w:pPr>
    </w:p>
    <w:p w:rsidR="009579D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97F9A" w:rsidRPr="001C0AE1" w:rsidRDefault="00A97F9A" w:rsidP="009579D1">
      <w:pPr>
        <w:spacing w:before="120" w:after="120" w:line="276" w:lineRule="auto"/>
        <w:ind w:left="426" w:firstLine="0"/>
        <w:rPr>
          <w:rFonts w:ascii="Times New Roman" w:hAnsi="Times New Roman" w:cs="Times New Roman"/>
          <w:b/>
          <w:sz w:val="22"/>
        </w:rPr>
      </w:pPr>
    </w:p>
    <w:p w:rsidR="00585FCB" w:rsidRDefault="000B615F" w:rsidP="000B615F">
      <w:pPr>
        <w:spacing w:before="120" w:after="120" w:line="276" w:lineRule="auto"/>
        <w:ind w:left="426" w:firstLine="0"/>
        <w:rPr>
          <w:rFonts w:ascii="Times New Roman" w:hAnsi="Times New Roman" w:cs="Times New Roman"/>
          <w:sz w:val="22"/>
        </w:rPr>
      </w:pPr>
      <w:r>
        <w:rPr>
          <w:rFonts w:ascii="Times New Roman" w:hAnsi="Times New Roman" w:cs="Times New Roman"/>
          <w:sz w:val="22"/>
        </w:rPr>
        <w:lastRenderedPageBreak/>
        <w:t>2.1</w:t>
      </w:r>
      <w:r>
        <w:rPr>
          <w:rFonts w:ascii="Times New Roman" w:hAnsi="Times New Roman" w:cs="Times New Roman"/>
          <w:sz w:val="22"/>
        </w:rPr>
        <w:tab/>
        <w:t xml:space="preserve"> - </w:t>
      </w:r>
      <w:r w:rsidRPr="000B615F">
        <w:rPr>
          <w:rFonts w:ascii="Times New Roman" w:hAnsi="Times New Roman" w:cs="Times New Roman"/>
          <w:sz w:val="22"/>
        </w:rPr>
        <w:t>Este processo tem por objetivo o Registro d</w:t>
      </w:r>
      <w:r>
        <w:rPr>
          <w:rFonts w:ascii="Times New Roman" w:hAnsi="Times New Roman" w:cs="Times New Roman"/>
          <w:sz w:val="22"/>
        </w:rPr>
        <w:t xml:space="preserve">e Preços para futura e eventual </w:t>
      </w:r>
      <w:r w:rsidRPr="000B615F">
        <w:rPr>
          <w:rFonts w:ascii="Times New Roman" w:hAnsi="Times New Roman" w:cs="Times New Roman"/>
          <w:sz w:val="22"/>
        </w:rPr>
        <w:t>aquisição de materiais escolares e didáticos para</w:t>
      </w:r>
      <w:r>
        <w:rPr>
          <w:rFonts w:ascii="Times New Roman" w:hAnsi="Times New Roman" w:cs="Times New Roman"/>
          <w:sz w:val="22"/>
        </w:rPr>
        <w:t xml:space="preserve"> uso da Secretaria Municipal de </w:t>
      </w:r>
      <w:r w:rsidRPr="000B615F">
        <w:rPr>
          <w:rFonts w:ascii="Times New Roman" w:hAnsi="Times New Roman" w:cs="Times New Roman"/>
          <w:sz w:val="22"/>
        </w:rPr>
        <w:t>Educação do Município de Cordilheira Alta/SC, a</w:t>
      </w:r>
      <w:r>
        <w:rPr>
          <w:rFonts w:ascii="Times New Roman" w:hAnsi="Times New Roman" w:cs="Times New Roman"/>
          <w:sz w:val="22"/>
        </w:rPr>
        <w:t xml:space="preserve"> serem distribuídos </w:t>
      </w:r>
      <w:r w:rsidR="00585FCB">
        <w:rPr>
          <w:rFonts w:ascii="Times New Roman" w:hAnsi="Times New Roman" w:cs="Times New Roman"/>
          <w:sz w:val="22"/>
        </w:rPr>
        <w:t>nas Escolas Municipais da Rede.</w:t>
      </w:r>
    </w:p>
    <w:p w:rsidR="001C0AE1" w:rsidRPr="000B615F" w:rsidRDefault="000B615F" w:rsidP="000B615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2.2. </w:t>
      </w:r>
      <w:r w:rsidRPr="000B615F">
        <w:rPr>
          <w:rFonts w:ascii="Times New Roman" w:hAnsi="Times New Roman" w:cs="Times New Roman"/>
          <w:sz w:val="22"/>
        </w:rPr>
        <w:t>Todos os equipamentos e materiais utilizados no fornecimento dos materiais dever</w:t>
      </w:r>
      <w:r>
        <w:rPr>
          <w:rFonts w:ascii="Times New Roman" w:hAnsi="Times New Roman" w:cs="Times New Roman"/>
          <w:sz w:val="22"/>
        </w:rPr>
        <w:t xml:space="preserve">ão </w:t>
      </w:r>
      <w:r w:rsidRPr="000B615F">
        <w:rPr>
          <w:rFonts w:ascii="Times New Roman" w:hAnsi="Times New Roman" w:cs="Times New Roman"/>
          <w:sz w:val="22"/>
        </w:rPr>
        <w:t>atender às exigências mínimas de qualidade,</w:t>
      </w:r>
      <w:r>
        <w:rPr>
          <w:rFonts w:ascii="Times New Roman" w:hAnsi="Times New Roman" w:cs="Times New Roman"/>
          <w:sz w:val="22"/>
        </w:rPr>
        <w:t xml:space="preserve"> observados os padrões e normas </w:t>
      </w:r>
      <w:r w:rsidRPr="000B615F">
        <w:rPr>
          <w:rFonts w:ascii="Times New Roman" w:hAnsi="Times New Roman" w:cs="Times New Roman"/>
          <w:sz w:val="22"/>
        </w:rPr>
        <w:t>baixadas pelos órgãos competentes de controle de qual</w:t>
      </w:r>
      <w:r>
        <w:rPr>
          <w:rFonts w:ascii="Times New Roman" w:hAnsi="Times New Roman" w:cs="Times New Roman"/>
          <w:sz w:val="22"/>
        </w:rPr>
        <w:t xml:space="preserve">idade Industrial atentando-se a </w:t>
      </w:r>
      <w:r w:rsidRPr="000B615F">
        <w:rPr>
          <w:rFonts w:ascii="Times New Roman" w:hAnsi="Times New Roman" w:cs="Times New Roman"/>
          <w:sz w:val="22"/>
        </w:rPr>
        <w:t>contratada, principalmente, para as prescrições conti</w:t>
      </w:r>
      <w:r>
        <w:rPr>
          <w:rFonts w:ascii="Times New Roman" w:hAnsi="Times New Roman" w:cs="Times New Roman"/>
          <w:sz w:val="22"/>
        </w:rPr>
        <w:t xml:space="preserve">das no art. 39, VIll, da Lei n° </w:t>
      </w:r>
      <w:r w:rsidRPr="000B615F">
        <w:rPr>
          <w:rFonts w:ascii="Times New Roman" w:hAnsi="Times New Roman" w:cs="Times New Roman"/>
          <w:sz w:val="22"/>
        </w:rPr>
        <w:t>8.078/90 (Código de Defesa do Consumidor).</w:t>
      </w:r>
    </w:p>
    <w:p w:rsidR="000B615F" w:rsidRDefault="000B615F"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E252E1" w:rsidRP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 xml:space="preserve">3.1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E252E1" w:rsidRPr="00E252E1" w:rsidRDefault="00585FCB" w:rsidP="00E252E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 </w:t>
      </w:r>
      <w:r w:rsidR="00E252E1" w:rsidRPr="00E252E1">
        <w:rPr>
          <w:rFonts w:ascii="Times New Roman" w:hAnsi="Times New Roman" w:cs="Times New Roman"/>
          <w:iCs/>
          <w:sz w:val="22"/>
        </w:rPr>
        <w:t>Os produtos deverão ser entregues embalados</w:t>
      </w:r>
      <w:r w:rsidR="00E252E1">
        <w:rPr>
          <w:rFonts w:ascii="Times New Roman" w:hAnsi="Times New Roman" w:cs="Times New Roman"/>
          <w:iCs/>
          <w:sz w:val="22"/>
        </w:rPr>
        <w:t xml:space="preserve"> em sacos plásticos e dentro de </w:t>
      </w:r>
      <w:r w:rsidR="00E252E1" w:rsidRPr="00E252E1">
        <w:rPr>
          <w:rFonts w:ascii="Times New Roman" w:hAnsi="Times New Roman" w:cs="Times New Roman"/>
          <w:iCs/>
          <w:sz w:val="22"/>
        </w:rPr>
        <w:t>caixas de papelão em boas condições em uma entrega única.</w:t>
      </w:r>
    </w:p>
    <w:p w:rsidR="00E252E1" w:rsidRP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3.1.1.1 Entregar na Secretaria de Educação, na rua A</w:t>
      </w:r>
      <w:r>
        <w:rPr>
          <w:rFonts w:ascii="Times New Roman" w:hAnsi="Times New Roman" w:cs="Times New Roman"/>
          <w:iCs/>
          <w:sz w:val="22"/>
        </w:rPr>
        <w:t xml:space="preserve">lberto Maggioni, s/n°, </w:t>
      </w:r>
      <w:r w:rsidR="00B53DFD">
        <w:rPr>
          <w:rFonts w:ascii="Times New Roman" w:hAnsi="Times New Roman" w:cs="Times New Roman"/>
          <w:iCs/>
          <w:sz w:val="22"/>
        </w:rPr>
        <w:t>anexa</w:t>
      </w:r>
      <w:r>
        <w:rPr>
          <w:rFonts w:ascii="Times New Roman" w:hAnsi="Times New Roman" w:cs="Times New Roman"/>
          <w:iCs/>
          <w:sz w:val="22"/>
        </w:rPr>
        <w:t xml:space="preserve">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E252E1" w:rsidRDefault="00E252E1" w:rsidP="00E252E1">
      <w:pPr>
        <w:spacing w:before="120" w:after="120" w:line="276" w:lineRule="auto"/>
        <w:ind w:left="426" w:firstLine="0"/>
        <w:rPr>
          <w:rFonts w:ascii="Times New Roman" w:hAnsi="Times New Roman" w:cs="Times New Roman"/>
          <w:iCs/>
          <w:sz w:val="22"/>
        </w:rPr>
      </w:pPr>
      <w:r w:rsidRPr="00E252E1">
        <w:rPr>
          <w:rFonts w:ascii="Times New Roman" w:hAnsi="Times New Roman" w:cs="Times New Roman"/>
          <w:iCs/>
          <w:sz w:val="22"/>
        </w:rPr>
        <w:t>3.2 -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EA5D0E"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566ED5" w:rsidRPr="00EA5D0E" w:rsidRDefault="00EA5D0E" w:rsidP="00EA5D0E">
      <w:pPr>
        <w:spacing w:before="120" w:after="120" w:line="276" w:lineRule="auto"/>
        <w:ind w:left="426" w:firstLine="0"/>
        <w:rPr>
          <w:rFonts w:ascii="Times New Roman" w:hAnsi="Times New Roman" w:cs="Times New Roman"/>
          <w:iCs/>
          <w:sz w:val="22"/>
        </w:rPr>
      </w:pPr>
      <w:r w:rsidRPr="00EA5D0E">
        <w:rPr>
          <w:rFonts w:ascii="Times New Roman" w:hAnsi="Times New Roman" w:cs="Times New Roman"/>
          <w:iCs/>
          <w:sz w:val="22"/>
        </w:rPr>
        <w:t>3.4 -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EA5D0E" w:rsidRDefault="00EA5D0E"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w:t>
      </w:r>
      <w:r w:rsidR="00FC4681">
        <w:rPr>
          <w:rFonts w:ascii="Times New Roman" w:hAnsi="Times New Roman" w:cs="Times New Roman"/>
          <w:sz w:val="22"/>
        </w:rPr>
        <w:t xml:space="preserve"> no mínimo </w:t>
      </w:r>
      <w:r w:rsidR="00585FCB">
        <w:rPr>
          <w:rFonts w:ascii="Times New Roman" w:hAnsi="Times New Roman" w:cs="Times New Roman"/>
          <w:sz w:val="22"/>
        </w:rPr>
        <w:t xml:space="preserve">3 (três) </w:t>
      </w:r>
      <w:r w:rsidR="00FC4681">
        <w:rPr>
          <w:rFonts w:ascii="Times New Roman" w:hAnsi="Times New Roman" w:cs="Times New Roman"/>
          <w:sz w:val="22"/>
        </w:rPr>
        <w:t>meses ou se a garantia do fabricante for maior aplicasse está.</w:t>
      </w:r>
      <w:r w:rsidR="00495F5D" w:rsidRPr="00495F5D">
        <w:rPr>
          <w:rFonts w:ascii="Times New Roman" w:hAnsi="Times New Roman" w:cs="Times New Roman"/>
          <w:sz w:val="22"/>
        </w:rPr>
        <w:t xml:space="preserve"> </w:t>
      </w:r>
      <w:r w:rsidR="00FC4681">
        <w:rPr>
          <w:rFonts w:ascii="Times New Roman" w:hAnsi="Times New Roman" w:cs="Times New Roman"/>
          <w:sz w:val="22"/>
        </w:rPr>
        <w:t>S</w:t>
      </w:r>
      <w:r w:rsidR="00495F5D" w:rsidRPr="00495F5D">
        <w:rPr>
          <w:rFonts w:ascii="Times New Roman" w:hAnsi="Times New Roman" w:cs="Times New Roman"/>
          <w:sz w:val="22"/>
        </w:rPr>
        <w:t>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D0D3C" w:rsidRDefault="005B0E37" w:rsidP="005B0E37">
      <w:pPr>
        <w:spacing w:after="4"/>
        <w:ind w:left="426" w:right="88" w:firstLine="0"/>
        <w:rPr>
          <w:rFonts w:ascii="Times New Roman" w:hAnsi="Times New Roman" w:cs="Times New Roman"/>
          <w:sz w:val="22"/>
        </w:rPr>
      </w:pPr>
      <w:r w:rsidRPr="001D0D3C">
        <w:rPr>
          <w:rFonts w:ascii="Times New Roman" w:hAnsi="Times New Roman" w:cs="Times New Roman"/>
          <w:b/>
          <w:sz w:val="22"/>
        </w:rPr>
        <w:t xml:space="preserve">6. AMOSTRA </w:t>
      </w:r>
      <w:r w:rsidRPr="001D0D3C">
        <w:rPr>
          <w:rFonts w:ascii="Times New Roman" w:hAnsi="Times New Roman" w:cs="Times New Roman"/>
          <w:sz w:val="22"/>
        </w:rPr>
        <w:t xml:space="preserve"> </w:t>
      </w:r>
    </w:p>
    <w:p w:rsidR="005B0E37" w:rsidRPr="001D0D3C"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D0D3C">
        <w:rPr>
          <w:rFonts w:ascii="Times New Roman" w:hAnsi="Times New Roman" w:cs="Times New Roman"/>
          <w:sz w:val="22"/>
        </w:rPr>
        <w:t>6.1 - Não há necessidade da apresentação de amostras;</w:t>
      </w:r>
      <w:r w:rsidRPr="001C0AE1">
        <w:rPr>
          <w:rFonts w:ascii="Times New Roman" w:hAnsi="Times New Roman" w:cs="Times New Roman"/>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lastRenderedPageBreak/>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FC4681">
        <w:rPr>
          <w:rFonts w:ascii="Times New Roman" w:hAnsi="Times New Roman" w:cs="Times New Roman"/>
          <w:color w:val="FF0000"/>
          <w:sz w:val="22"/>
          <w:lang w:eastAsia="zh-CN"/>
        </w:rPr>
        <w:t>Ana Eliza Tauchert</w:t>
      </w:r>
      <w:r w:rsidR="00A97F9A">
        <w:rPr>
          <w:rFonts w:ascii="Times New Roman" w:hAnsi="Times New Roman" w:cs="Times New Roman"/>
          <w:color w:val="FF0000"/>
          <w:sz w:val="22"/>
          <w:lang w:eastAsia="zh-CN"/>
        </w:rPr>
        <w:t>,</w:t>
      </w:r>
      <w:r w:rsidR="00FC4681">
        <w:rPr>
          <w:rFonts w:ascii="Times New Roman" w:hAnsi="Times New Roman" w:cs="Times New Roman"/>
          <w:color w:val="FF0000"/>
          <w:sz w:val="22"/>
          <w:lang w:eastAsia="zh-CN"/>
        </w:rPr>
        <w:t xml:space="preserve"> matrícula n° 13454/06</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97F9A"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734CBF">
        <w:rPr>
          <w:rFonts w:ascii="Times New Roman" w:hAnsi="Times New Roman" w:cs="Times New Roman"/>
          <w:color w:val="FF0000"/>
          <w:sz w:val="22"/>
          <w:lang w:eastAsia="en-US"/>
        </w:rPr>
        <w:t>23</w:t>
      </w:r>
      <w:r w:rsidR="00585FCB">
        <w:rPr>
          <w:rFonts w:ascii="Times New Roman" w:hAnsi="Times New Roman" w:cs="Times New Roman"/>
          <w:color w:val="FF0000"/>
          <w:sz w:val="22"/>
          <w:lang w:eastAsia="en-US"/>
        </w:rPr>
        <w:t xml:space="preserve"> de maio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FC4681"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ANA ELIZA TAUCHERT</w:t>
      </w:r>
    </w:p>
    <w:p w:rsidR="00A97F9A" w:rsidRPr="00734CBF" w:rsidRDefault="00FC4681" w:rsidP="00734CBF">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Secretaria de Educação</w:t>
      </w:r>
      <w:bookmarkStart w:id="0" w:name="_GoBack"/>
      <w:bookmarkEnd w:id="0"/>
    </w:p>
    <w:p w:rsidR="00FC4681" w:rsidRDefault="00FC4681"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3E0B7A">
        <w:rPr>
          <w:rFonts w:ascii="Times New Roman" w:hAnsi="Times New Roman" w:cs="Times New Roman"/>
          <w:b/>
          <w:color w:val="FF0000"/>
          <w:sz w:val="22"/>
        </w:rPr>
        <w:t>81</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3E0B7A">
        <w:rPr>
          <w:rFonts w:ascii="Times New Roman" w:hAnsi="Times New Roman" w:cs="Times New Roman"/>
          <w:b/>
          <w:color w:val="FF0000"/>
          <w:sz w:val="22"/>
        </w:rPr>
        <w:t>37</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lastRenderedPageBreak/>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3F0B27">
      <w:pPr>
        <w:spacing w:after="4" w:line="250" w:lineRule="auto"/>
        <w:ind w:left="298" w:right="0" w:hanging="10"/>
        <w:jc w:val="center"/>
        <w:rPr>
          <w:rFonts w:ascii="Times New Roman" w:hAnsi="Times New Roman" w:cs="Times New Roman"/>
          <w:b/>
          <w:sz w:val="22"/>
        </w:rPr>
      </w:pPr>
      <w:r w:rsidRPr="001C0AE1">
        <w:rPr>
          <w:rFonts w:ascii="Times New Roman" w:hAnsi="Times New Roman" w:cs="Times New Roman"/>
          <w:b/>
          <w:sz w:val="22"/>
        </w:rPr>
        <w:t xml:space="preserve">ANEXO “F” </w:t>
      </w:r>
    </w:p>
    <w:p w:rsidR="002D5377" w:rsidRPr="001C0AE1" w:rsidRDefault="002D5377">
      <w:pPr>
        <w:spacing w:after="4" w:line="250" w:lineRule="auto"/>
        <w:ind w:left="298" w:right="0" w:hanging="10"/>
        <w:jc w:val="center"/>
        <w:rPr>
          <w:rFonts w:ascii="Times New Roman" w:hAnsi="Times New Roman" w:cs="Times New Roman"/>
          <w:sz w:val="22"/>
        </w:rPr>
      </w:pP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85FCB" w:rsidRPr="00585FCB">
        <w:rPr>
          <w:rFonts w:ascii="Times New Roman" w:eastAsiaTheme="minorHAnsi" w:hAnsi="Times New Roman" w:cs="Times New Roman"/>
          <w:b/>
          <w:bCs/>
          <w:color w:val="FF0000"/>
          <w:sz w:val="22"/>
        </w:rPr>
        <w:t>REGISTRO DE PREÇOS PARA POSSÍVEL E FUTURA AQUISIÇÃO DE MATERIAIS ESCOLARES EM ATENDIMENTO AS NECESSIDADES DA REDE MUNICIPAL DE EDUCAÇÃO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 xml:space="preserve">.1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 </w:t>
      </w:r>
      <w:r w:rsidRPr="00E252E1">
        <w:rPr>
          <w:rFonts w:ascii="Times New Roman" w:hAnsi="Times New Roman" w:cs="Times New Roman"/>
          <w:iCs/>
          <w:sz w:val="22"/>
        </w:rPr>
        <w:t>Os produtos deverão ser entregues embalados</w:t>
      </w:r>
      <w:r>
        <w:rPr>
          <w:rFonts w:ascii="Times New Roman" w:hAnsi="Times New Roman" w:cs="Times New Roman"/>
          <w:iCs/>
          <w:sz w:val="22"/>
        </w:rPr>
        <w:t xml:space="preserve"> em sacos plásticos e dentro de </w:t>
      </w:r>
      <w:r w:rsidRPr="00E252E1">
        <w:rPr>
          <w:rFonts w:ascii="Times New Roman" w:hAnsi="Times New Roman" w:cs="Times New Roman"/>
          <w:iCs/>
          <w:sz w:val="22"/>
        </w:rPr>
        <w:t>caixas de papelão em boas condições em uma entrega única.</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.1.1.1 Entregar na Secretaria de Educação, na rua A</w:t>
      </w:r>
      <w:r>
        <w:rPr>
          <w:rFonts w:ascii="Times New Roman" w:hAnsi="Times New Roman" w:cs="Times New Roman"/>
          <w:iCs/>
          <w:sz w:val="22"/>
        </w:rPr>
        <w:t xml:space="preserve">lberto Maggioni, s/n°, anexa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B53DFD"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866C06" w:rsidRPr="00B53DFD">
        <w:rPr>
          <w:rFonts w:ascii="Times New Roman" w:hAnsi="Times New Roman" w:cs="Times New Roman"/>
          <w:sz w:val="22"/>
        </w:rPr>
        <w:t xml:space="preserve">(Projeto </w:t>
      </w:r>
      <w:r w:rsidR="00866C06" w:rsidRPr="00B53DFD">
        <w:rPr>
          <w:rFonts w:ascii="Times New Roman" w:hAnsi="Times New Roman" w:cs="Times New Roman"/>
          <w:b/>
          <w:sz w:val="22"/>
        </w:rPr>
        <w:t xml:space="preserve">Atividade </w:t>
      </w:r>
      <w:r w:rsidR="00764DC7" w:rsidRPr="00B53DFD">
        <w:rPr>
          <w:rFonts w:ascii="Times New Roman" w:hAnsi="Times New Roman" w:cs="Times New Roman"/>
          <w:b/>
          <w:sz w:val="22"/>
        </w:rPr>
        <w:t>2.0</w:t>
      </w:r>
      <w:r w:rsidR="00CF3B2F" w:rsidRPr="00B53DFD">
        <w:rPr>
          <w:rFonts w:ascii="Times New Roman" w:hAnsi="Times New Roman" w:cs="Times New Roman"/>
          <w:b/>
          <w:sz w:val="22"/>
        </w:rPr>
        <w:t>94</w:t>
      </w:r>
      <w:r w:rsidR="00B53DFD" w:rsidRPr="00B53DFD">
        <w:rPr>
          <w:rFonts w:ascii="Times New Roman" w:hAnsi="Times New Roman" w:cs="Times New Roman"/>
          <w:b/>
          <w:sz w:val="22"/>
        </w:rPr>
        <w:t>, 2.089, 2.013</w:t>
      </w:r>
      <w:r w:rsidR="00DC18AE" w:rsidRPr="00B53DFD">
        <w:rPr>
          <w:rFonts w:ascii="Times New Roman" w:hAnsi="Times New Roman" w:cs="Times New Roman"/>
          <w:b/>
          <w:sz w:val="22"/>
        </w:rPr>
        <w:t xml:space="preserve"> – Elemento 3.3.90</w:t>
      </w:r>
      <w:r w:rsidR="00866C06" w:rsidRPr="00B53DFD">
        <w:rPr>
          <w:rFonts w:ascii="Times New Roman" w:hAnsi="Times New Roman" w:cs="Times New Roman"/>
          <w:sz w:val="22"/>
        </w:rPr>
        <w:t>, prevista na Lei Orçamentária do Exercício de</w:t>
      </w:r>
      <w:r w:rsidR="005E7ABB" w:rsidRPr="00B53DFD">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w:t>
      </w:r>
      <w:r w:rsidR="001D0D3C">
        <w:rPr>
          <w:rFonts w:ascii="Times New Roman" w:hAnsi="Times New Roman" w:cs="Times New Roman"/>
          <w:sz w:val="22"/>
        </w:rPr>
        <w:t>3 (três)</w:t>
      </w:r>
      <w:r w:rsidR="0062645E">
        <w:rPr>
          <w:rFonts w:ascii="Times New Roman" w:hAnsi="Times New Roman" w:cs="Times New Roman"/>
          <w:sz w:val="22"/>
        </w:rPr>
        <w:t xml:space="preserve">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w:t>
      </w:r>
      <w:r w:rsidRPr="001C0AE1">
        <w:rPr>
          <w:rFonts w:ascii="Times New Roman" w:hAnsi="Times New Roman" w:cs="Times New Roman"/>
          <w:sz w:val="22"/>
        </w:rPr>
        <w:lastRenderedPageBreak/>
        <w:t xml:space="preserve">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62645E">
        <w:rPr>
          <w:rFonts w:ascii="Times New Roman" w:hAnsi="Times New Roman" w:cs="Times New Roman"/>
          <w:color w:val="FF0000"/>
          <w:sz w:val="22"/>
          <w:lang w:eastAsia="zh-CN"/>
        </w:rPr>
        <w:t xml:space="preserve">Ana Eliza Tauchert, matrícula n° 13454/06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30"/>
      <w:headerReference w:type="default" r:id="rId31"/>
      <w:footerReference w:type="even" r:id="rId32"/>
      <w:footerReference w:type="default" r:id="rId33"/>
      <w:headerReference w:type="first" r:id="rId34"/>
      <w:footerReference w:type="first" r:id="rId35"/>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40E" w:rsidRDefault="0046540E">
      <w:pPr>
        <w:spacing w:after="0" w:line="240" w:lineRule="auto"/>
      </w:pPr>
      <w:r>
        <w:separator/>
      </w:r>
    </w:p>
  </w:endnote>
  <w:endnote w:type="continuationSeparator" w:id="0">
    <w:p w:rsidR="0046540E" w:rsidRDefault="0046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734CBF">
      <w:fldChar w:fldCharType="begin"/>
    </w:r>
    <w:r w:rsidR="00734CBF">
      <w:instrText xml:space="preserve"> NUMPAGES   \* MERGEFORMAT </w:instrText>
    </w:r>
    <w:r w:rsidR="00734CBF">
      <w:fldChar w:fldCharType="separate"/>
    </w:r>
    <w:r w:rsidR="009F2716" w:rsidRPr="009F2716">
      <w:rPr>
        <w:rFonts w:ascii="Arial" w:eastAsia="Arial" w:hAnsi="Arial" w:cs="Arial"/>
        <w:noProof/>
        <w:sz w:val="18"/>
      </w:rPr>
      <w:t>33</w:t>
    </w:r>
    <w:r w:rsidR="00734CB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34CBF" w:rsidRPr="00734CBF">
      <w:rPr>
        <w:rFonts w:ascii="Arial" w:eastAsia="Arial" w:hAnsi="Arial" w:cs="Arial"/>
        <w:noProof/>
        <w:sz w:val="18"/>
      </w:rPr>
      <w:t>26</w:t>
    </w:r>
    <w:r>
      <w:rPr>
        <w:rFonts w:ascii="Arial" w:eastAsia="Arial" w:hAnsi="Arial" w:cs="Arial"/>
        <w:sz w:val="18"/>
      </w:rPr>
      <w:fldChar w:fldCharType="end"/>
    </w:r>
    <w:r>
      <w:rPr>
        <w:rFonts w:ascii="Arial" w:eastAsia="Arial" w:hAnsi="Arial" w:cs="Arial"/>
        <w:sz w:val="18"/>
      </w:rPr>
      <w:t>/</w:t>
    </w:r>
    <w:r w:rsidR="00734CBF">
      <w:fldChar w:fldCharType="begin"/>
    </w:r>
    <w:r w:rsidR="00734CBF">
      <w:instrText xml:space="preserve"> NUMPAGES   \* MERGEFORMAT </w:instrText>
    </w:r>
    <w:r w:rsidR="00734CBF">
      <w:fldChar w:fldCharType="separate"/>
    </w:r>
    <w:r w:rsidR="00734CBF" w:rsidRPr="00734CBF">
      <w:rPr>
        <w:rFonts w:ascii="Arial" w:eastAsia="Arial" w:hAnsi="Arial" w:cs="Arial"/>
        <w:noProof/>
        <w:sz w:val="18"/>
      </w:rPr>
      <w:t>31</w:t>
    </w:r>
    <w:r w:rsidR="00734CB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34CBF" w:rsidRPr="00734CB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734CBF">
      <w:fldChar w:fldCharType="begin"/>
    </w:r>
    <w:r w:rsidR="00734CBF">
      <w:instrText xml:space="preserve"> NUMPAGES   \* MERGEFORMAT </w:instrText>
    </w:r>
    <w:r w:rsidR="00734CBF">
      <w:fldChar w:fldCharType="separate"/>
    </w:r>
    <w:r w:rsidR="00734CBF" w:rsidRPr="00734CBF">
      <w:rPr>
        <w:rFonts w:ascii="Arial" w:eastAsia="Arial" w:hAnsi="Arial" w:cs="Arial"/>
        <w:noProof/>
        <w:sz w:val="18"/>
      </w:rPr>
      <w:t>31</w:t>
    </w:r>
    <w:r w:rsidR="00734CBF">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40E" w:rsidRDefault="0046540E">
      <w:pPr>
        <w:spacing w:after="0" w:line="240" w:lineRule="auto"/>
      </w:pPr>
      <w:r>
        <w:separator/>
      </w:r>
    </w:p>
  </w:footnote>
  <w:footnote w:type="continuationSeparator" w:id="0">
    <w:p w:rsidR="0046540E" w:rsidRDefault="0046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Pr>
      <w:spacing w:after="216" w:line="259" w:lineRule="auto"/>
      <w:ind w:left="4" w:right="0" w:firstLine="0"/>
      <w:jc w:val="center"/>
      <w:rPr>
        <w:b/>
      </w:rPr>
    </w:pPr>
  </w:p>
  <w:p w:rsidR="000B615F" w:rsidRDefault="000B615F">
    <w:pPr>
      <w:spacing w:after="216" w:line="259" w:lineRule="auto"/>
      <w:ind w:left="4" w:right="0" w:firstLine="0"/>
      <w:jc w:val="center"/>
      <w:rPr>
        <w:b/>
      </w:rPr>
    </w:pPr>
  </w:p>
  <w:p w:rsidR="000B615F" w:rsidRDefault="000B615F"/>
  <w:p w:rsidR="000B615F" w:rsidRDefault="000B615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B615F"/>
    <w:rsid w:val="000E039C"/>
    <w:rsid w:val="000E594E"/>
    <w:rsid w:val="00124E6C"/>
    <w:rsid w:val="001276D5"/>
    <w:rsid w:val="00130D02"/>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F78BF"/>
    <w:rsid w:val="0020446B"/>
    <w:rsid w:val="0020654D"/>
    <w:rsid w:val="00206A6A"/>
    <w:rsid w:val="00212754"/>
    <w:rsid w:val="00212D65"/>
    <w:rsid w:val="00231FB8"/>
    <w:rsid w:val="002328D7"/>
    <w:rsid w:val="00233C18"/>
    <w:rsid w:val="002371CA"/>
    <w:rsid w:val="00250BF4"/>
    <w:rsid w:val="002D4BEC"/>
    <w:rsid w:val="002D5377"/>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0B7A"/>
    <w:rsid w:val="003E5709"/>
    <w:rsid w:val="003F0594"/>
    <w:rsid w:val="003F0B27"/>
    <w:rsid w:val="0040159A"/>
    <w:rsid w:val="00432387"/>
    <w:rsid w:val="004347E7"/>
    <w:rsid w:val="00450574"/>
    <w:rsid w:val="004630A0"/>
    <w:rsid w:val="00464D4F"/>
    <w:rsid w:val="0046540E"/>
    <w:rsid w:val="00467A17"/>
    <w:rsid w:val="0048295C"/>
    <w:rsid w:val="00490508"/>
    <w:rsid w:val="00492EB6"/>
    <w:rsid w:val="00495F5D"/>
    <w:rsid w:val="004A0903"/>
    <w:rsid w:val="004E7736"/>
    <w:rsid w:val="004F462C"/>
    <w:rsid w:val="004F6319"/>
    <w:rsid w:val="00500A4F"/>
    <w:rsid w:val="00510231"/>
    <w:rsid w:val="00520114"/>
    <w:rsid w:val="00531926"/>
    <w:rsid w:val="0054546C"/>
    <w:rsid w:val="00547254"/>
    <w:rsid w:val="00557DD5"/>
    <w:rsid w:val="00566ED5"/>
    <w:rsid w:val="00585FCB"/>
    <w:rsid w:val="0058664F"/>
    <w:rsid w:val="00587D81"/>
    <w:rsid w:val="005904CE"/>
    <w:rsid w:val="005B0E37"/>
    <w:rsid w:val="005B3DF9"/>
    <w:rsid w:val="005D0848"/>
    <w:rsid w:val="005E7ABB"/>
    <w:rsid w:val="005F5EAA"/>
    <w:rsid w:val="0062645E"/>
    <w:rsid w:val="00637A1F"/>
    <w:rsid w:val="00656934"/>
    <w:rsid w:val="00681737"/>
    <w:rsid w:val="006A37E8"/>
    <w:rsid w:val="006D6E30"/>
    <w:rsid w:val="006F705B"/>
    <w:rsid w:val="00706CEC"/>
    <w:rsid w:val="0071709F"/>
    <w:rsid w:val="007266D4"/>
    <w:rsid w:val="00734CBF"/>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3072E"/>
    <w:rsid w:val="009579D1"/>
    <w:rsid w:val="00964A5D"/>
    <w:rsid w:val="00977364"/>
    <w:rsid w:val="00981DA0"/>
    <w:rsid w:val="00991F3F"/>
    <w:rsid w:val="00995240"/>
    <w:rsid w:val="009965F1"/>
    <w:rsid w:val="0099690A"/>
    <w:rsid w:val="00996B67"/>
    <w:rsid w:val="009B25A8"/>
    <w:rsid w:val="009B5293"/>
    <w:rsid w:val="009C2DAE"/>
    <w:rsid w:val="009C6EF2"/>
    <w:rsid w:val="009E359E"/>
    <w:rsid w:val="009E7E2D"/>
    <w:rsid w:val="009F2716"/>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52004"/>
    <w:rsid w:val="00E536FF"/>
    <w:rsid w:val="00E5649D"/>
    <w:rsid w:val="00E63B86"/>
    <w:rsid w:val="00E65C64"/>
    <w:rsid w:val="00E66E58"/>
    <w:rsid w:val="00E74BA3"/>
    <w:rsid w:val="00E930CC"/>
    <w:rsid w:val="00E97DBF"/>
    <w:rsid w:val="00EA1E8C"/>
    <w:rsid w:val="00EA5D0E"/>
    <w:rsid w:val="00EB339E"/>
    <w:rsid w:val="00EB5290"/>
    <w:rsid w:val="00EC15BD"/>
    <w:rsid w:val="00ED4099"/>
    <w:rsid w:val="00ED7612"/>
    <w:rsid w:val="00F12434"/>
    <w:rsid w:val="00F16D3D"/>
    <w:rsid w:val="00F309EE"/>
    <w:rsid w:val="00F70CE1"/>
    <w:rsid w:val="00F95BC9"/>
    <w:rsid w:val="00FB0F35"/>
    <w:rsid w:val="00FC3973"/>
    <w:rsid w:val="00FC4681"/>
    <w:rsid w:val="00FC6CE3"/>
    <w:rsid w:val="00FC7B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B2726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s://certeproc1g.tjsc.jus.br/"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s://certidoes-apf.apps.tcu.gov.b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yperlink" Target="http://www.diariomunicipal.sc.gov.br/" TargetMode="External"/><Relationship Id="rId36"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1.xm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A4BBC-7D55-4591-8851-F9B37482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31</Pages>
  <Words>11987</Words>
  <Characters>64730</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187</cp:revision>
  <cp:lastPrinted>2022-05-11T19:15:00Z</cp:lastPrinted>
  <dcterms:created xsi:type="dcterms:W3CDTF">2021-02-15T11:42:00Z</dcterms:created>
  <dcterms:modified xsi:type="dcterms:W3CDTF">2022-05-23T18:28:00Z</dcterms:modified>
</cp:coreProperties>
</file>