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2C" w:rsidRPr="00936A86" w:rsidRDefault="00936A86">
      <w:pPr>
        <w:spacing w:after="0"/>
        <w:ind w:left="10" w:right="14" w:hanging="10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PROCESSO </w:t>
      </w:r>
      <w:r w:rsidRPr="00936A86">
        <w:rPr>
          <w:rFonts w:ascii="Bookman Old Style" w:eastAsia="Bookman Old Style" w:hAnsi="Bookman Old Style" w:cs="Bookman Old Style"/>
          <w:b/>
          <w:sz w:val="24"/>
        </w:rPr>
        <w:t xml:space="preserve">ADMINISTRATIVO N° </w:t>
      </w:r>
      <w:r w:rsidR="00F53B9E">
        <w:rPr>
          <w:rFonts w:ascii="Bookman Old Style" w:eastAsia="Bookman Old Style" w:hAnsi="Bookman Old Style" w:cs="Bookman Old Style"/>
          <w:b/>
          <w:sz w:val="24"/>
          <w:highlight w:val="yellow"/>
        </w:rPr>
        <w:t>69</w:t>
      </w:r>
      <w:r w:rsidR="00E477A3" w:rsidRPr="00E477A3">
        <w:rPr>
          <w:rFonts w:ascii="Bookman Old Style" w:eastAsia="Bookman Old Style" w:hAnsi="Bookman Old Style" w:cs="Bookman Old Style"/>
          <w:b/>
          <w:sz w:val="24"/>
          <w:highlight w:val="yellow"/>
        </w:rPr>
        <w:t>/2022</w:t>
      </w:r>
      <w:r w:rsidR="00C30665" w:rsidRPr="00936A86"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spacing w:after="0"/>
        <w:ind w:left="10" w:right="13" w:hanging="10"/>
        <w:jc w:val="center"/>
      </w:pPr>
      <w:r w:rsidRPr="00936A86">
        <w:rPr>
          <w:rFonts w:ascii="Bookman Old Style" w:eastAsia="Bookman Old Style" w:hAnsi="Bookman Old Style" w:cs="Bookman Old Style"/>
          <w:b/>
          <w:sz w:val="24"/>
        </w:rPr>
        <w:t xml:space="preserve">DISPENSA DE LICITAÇÃO N° </w:t>
      </w:r>
      <w:r w:rsidR="00F53B9E">
        <w:rPr>
          <w:rFonts w:ascii="Bookman Old Style" w:eastAsia="Bookman Old Style" w:hAnsi="Bookman Old Style" w:cs="Bookman Old Style"/>
          <w:b/>
          <w:sz w:val="24"/>
          <w:highlight w:val="yellow"/>
        </w:rPr>
        <w:t>22</w:t>
      </w:r>
      <w:r w:rsidR="00E477A3" w:rsidRPr="00E477A3">
        <w:rPr>
          <w:rFonts w:ascii="Bookman Old Style" w:eastAsia="Bookman Old Style" w:hAnsi="Bookman Old Style" w:cs="Bookman Old Style"/>
          <w:b/>
          <w:sz w:val="24"/>
          <w:highlight w:val="yellow"/>
        </w:rPr>
        <w:t>/2022</w:t>
      </w:r>
    </w:p>
    <w:p w:rsidR="00E50B2C" w:rsidRDefault="00C30665">
      <w:pPr>
        <w:spacing w:after="0"/>
        <w:ind w:left="68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E50B2C">
      <w:pPr>
        <w:spacing w:after="0"/>
      </w:pPr>
    </w:p>
    <w:p w:rsidR="00E50B2C" w:rsidRDefault="00C30665">
      <w:pPr>
        <w:pStyle w:val="Ttulo1"/>
        <w:ind w:left="-5" w:right="0"/>
      </w:pPr>
      <w:r>
        <w:t xml:space="preserve">I - DO OBJETO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Pr="0085239A" w:rsidRDefault="00C30665">
      <w:pPr>
        <w:spacing w:after="0" w:line="239" w:lineRule="auto"/>
        <w:ind w:left="-5" w:right="-2" w:hanging="10"/>
        <w:jc w:val="both"/>
        <w:rPr>
          <w:b/>
        </w:rPr>
      </w:pPr>
      <w:r w:rsidRPr="002F7921">
        <w:rPr>
          <w:rFonts w:ascii="Bookman Old Style" w:eastAsia="Bookman Old Style" w:hAnsi="Bookman Old Style" w:cs="Bookman Old Style"/>
          <w:sz w:val="24"/>
        </w:rPr>
        <w:t>O objeto da presente d</w:t>
      </w:r>
      <w:r w:rsidR="007C27EC">
        <w:rPr>
          <w:rFonts w:ascii="Bookman Old Style" w:eastAsia="Bookman Old Style" w:hAnsi="Bookman Old Style" w:cs="Bookman Old Style"/>
          <w:sz w:val="24"/>
        </w:rPr>
        <w:t xml:space="preserve">ispensa de licitação é a </w:t>
      </w:r>
      <w:r w:rsidR="00382D84" w:rsidRPr="0085239A">
        <w:rPr>
          <w:rFonts w:ascii="Bookman Old Style" w:eastAsia="Bookman Old Style" w:hAnsi="Bookman Old Style" w:cs="Bookman Old Style"/>
          <w:b/>
          <w:sz w:val="24"/>
        </w:rPr>
        <w:t xml:space="preserve">LOCAÇÃO DE SALA COMERCIAL PARA FINS DE DESENVOLVIMENTO DE ATIVIDADES PERTINENTES A SECRETARIA DE </w:t>
      </w:r>
      <w:r w:rsidR="00E477A3">
        <w:rPr>
          <w:rFonts w:ascii="Bookman Old Style" w:eastAsia="Bookman Old Style" w:hAnsi="Bookman Old Style" w:cs="Bookman Old Style"/>
          <w:b/>
          <w:sz w:val="24"/>
        </w:rPr>
        <w:t>ASSISTÊNCIA SOCIAL</w:t>
      </w:r>
      <w:r w:rsidR="00382D84" w:rsidRPr="0085239A">
        <w:rPr>
          <w:rFonts w:ascii="Bookman Old Style" w:eastAsia="Bookman Old Style" w:hAnsi="Bookman Old Style" w:cs="Bookman Old Style"/>
          <w:b/>
          <w:sz w:val="24"/>
        </w:rPr>
        <w:t xml:space="preserve"> DO MUNICÍPIO DE CORDILHEIRA ALTA</w:t>
      </w:r>
      <w:r w:rsidR="00E477A3">
        <w:rPr>
          <w:rFonts w:ascii="Bookman Old Style" w:eastAsia="Bookman Old Style" w:hAnsi="Bookman Old Style" w:cs="Bookman Old Style"/>
          <w:b/>
          <w:sz w:val="24"/>
        </w:rPr>
        <w:t>/SC</w:t>
      </w:r>
      <w:r w:rsidR="00382D84" w:rsidRPr="0085239A">
        <w:rPr>
          <w:rFonts w:ascii="Bookman Old Style" w:eastAsia="Bookman Old Style" w:hAnsi="Bookman Old Style" w:cs="Bookman Old Style"/>
          <w:b/>
          <w:sz w:val="24"/>
        </w:rPr>
        <w:t xml:space="preserve">.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pStyle w:val="Ttulo1"/>
        <w:ind w:left="-5" w:right="0"/>
      </w:pPr>
      <w:r>
        <w:t xml:space="preserve">II – DA DISPENSA DE LICITAÇÃO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 w:rsidP="00FD1AB9">
      <w:pPr>
        <w:spacing w:after="0" w:line="239" w:lineRule="auto"/>
        <w:ind w:left="-5" w:right="-2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No caso em questão verifica-se a Dispensa de Licitação com base jurídica no inciso X do art. 24 da Lei nº 8.666/93: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50B2C" w:rsidRPr="00A05A92" w:rsidRDefault="00C30665">
      <w:pPr>
        <w:spacing w:after="0"/>
        <w:ind w:left="2092" w:hanging="10"/>
        <w:jc w:val="center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“Art. 24 É dispensável a licitação: </w:t>
      </w:r>
    </w:p>
    <w:p w:rsidR="00E50B2C" w:rsidRPr="00A05A92" w:rsidRDefault="00C30665">
      <w:pPr>
        <w:spacing w:after="0"/>
        <w:ind w:left="2092" w:right="3049" w:hanging="10"/>
        <w:jc w:val="center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... </w:t>
      </w:r>
    </w:p>
    <w:p w:rsidR="00E50B2C" w:rsidRPr="00A05A92" w:rsidRDefault="00C30665">
      <w:pPr>
        <w:spacing w:after="0" w:line="238" w:lineRule="auto"/>
        <w:ind w:left="3970" w:right="15"/>
        <w:jc w:val="both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X - </w:t>
      </w:r>
      <w:r w:rsidR="00111128" w:rsidRPr="00A05A92">
        <w:rPr>
          <w:rFonts w:ascii="Bookman Old Style" w:eastAsia="Bookman Old Style" w:hAnsi="Bookman Old Style" w:cs="Bookman Old Style"/>
          <w:i/>
          <w:sz w:val="20"/>
          <w:szCs w:val="20"/>
        </w:rPr>
        <w:t>Para</w:t>
      </w: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 a compra ou locação de imóvel destinado ao atendimento das finalidades precípuas da administração, cujas necessidades de instalação e localização condicionem a sua escolha, desde que o preço seja compatível com o valor de </w:t>
      </w:r>
    </w:p>
    <w:p w:rsidR="00E50B2C" w:rsidRPr="00A05A92" w:rsidRDefault="00C30665">
      <w:pPr>
        <w:spacing w:after="0" w:line="248" w:lineRule="auto"/>
        <w:ind w:left="3965" w:right="1" w:hanging="10"/>
        <w:jc w:val="both"/>
        <w:rPr>
          <w:sz w:val="20"/>
          <w:szCs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  <w:szCs w:val="20"/>
        </w:rPr>
        <w:t xml:space="preserve">mercado, segundo avaliação prévia; </w:t>
      </w:r>
    </w:p>
    <w:p w:rsidR="00E50B2C" w:rsidRDefault="00C30665">
      <w:pPr>
        <w:spacing w:after="0"/>
        <w:ind w:right="516"/>
        <w:jc w:val="center"/>
      </w:pPr>
      <w:r>
        <w:rPr>
          <w:rFonts w:ascii="Bookman Old Style" w:eastAsia="Bookman Old Style" w:hAnsi="Bookman Old Style" w:cs="Bookman Old Style"/>
        </w:rPr>
        <w:t xml:space="preserve">        </w:t>
      </w:r>
      <w:r>
        <w:rPr>
          <w:rFonts w:ascii="Bookman Old Style" w:eastAsia="Bookman Old Style" w:hAnsi="Bookman Old Style" w:cs="Bookman Old Style"/>
          <w:i/>
        </w:rPr>
        <w:t xml:space="preserve"> </w:t>
      </w: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Como pode ser observado acima, é possível verificar a imposição de determinados requisitos que devem ser assinalados visando conferir regularidade à contratação pretendida, quais sejam: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a) compra ou locação de imóvel destinado ao atendimento de finalidades precípuas da administração;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b) instalação e localização que condicionem a escolha;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c) compatibilidade dos valores praticados no mercado, através de avaliação prévia. 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71579" w:rsidRPr="00E71579" w:rsidRDefault="00E71579" w:rsidP="00E7157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AE65FD">
        <w:rPr>
          <w:rFonts w:ascii="Bookman Old Style" w:eastAsia="Bookman Old Style" w:hAnsi="Bookman Old Style" w:cs="Bookman Old Style"/>
          <w:sz w:val="24"/>
        </w:rPr>
        <w:t>A administração providenciou a avaliação prévia do imóvel comprovando a compatibilidade do preço a ser contratado com o preço praticado no mercado. A avaliação deve necessariamente anteceder a firmação do negócio avençado, o que no presente</w:t>
      </w:r>
      <w:r w:rsidRPr="00E71579">
        <w:rPr>
          <w:rFonts w:ascii="Bookman Old Style" w:eastAsia="Bookman Old Style" w:hAnsi="Bookman Old Style" w:cs="Bookman Old Style"/>
          <w:sz w:val="24"/>
        </w:rPr>
        <w:t xml:space="preserve"> caso configura-se a locação, pois sem avaliação prévia não há como aferir o preço praticado no mercado.</w:t>
      </w:r>
    </w:p>
    <w:p w:rsidR="00E71579" w:rsidRDefault="00E71579" w:rsidP="00F961F2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111128" w:rsidRDefault="00C30665" w:rsidP="009161F0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2F7921">
        <w:rPr>
          <w:rFonts w:ascii="Bookman Old Style" w:eastAsia="Bookman Old Style" w:hAnsi="Bookman Old Style" w:cs="Bookman Old Style"/>
          <w:sz w:val="24"/>
        </w:rPr>
        <w:t>A escolha para locaçã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o recaiu </w:t>
      </w:r>
      <w:r w:rsidR="00111128">
        <w:rPr>
          <w:rFonts w:ascii="Bookman Old Style" w:eastAsia="Bookman Old Style" w:hAnsi="Bookman Old Style" w:cs="Bookman Old Style"/>
          <w:sz w:val="24"/>
        </w:rPr>
        <w:t>sobre o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 imóvel</w:t>
      </w:r>
      <w:r w:rsidR="00E477A3">
        <w:rPr>
          <w:rFonts w:ascii="Bookman Old Style" w:eastAsia="Bookman Old Style" w:hAnsi="Bookman Old Style" w:cs="Bookman Old Style"/>
          <w:sz w:val="24"/>
        </w:rPr>
        <w:t xml:space="preserve"> centro de idosos Viver a vida - </w:t>
      </w:r>
      <w:r w:rsidR="00992163">
        <w:rPr>
          <w:rFonts w:ascii="Bookman Old Style" w:eastAsia="Bookman Old Style" w:hAnsi="Bookman Old Style" w:cs="Bookman Old Style"/>
          <w:sz w:val="24"/>
        </w:rPr>
        <w:t xml:space="preserve"> </w:t>
      </w:r>
      <w:r w:rsidR="00A05A92">
        <w:rPr>
          <w:rFonts w:ascii="Bookman Old Style" w:eastAsia="Bookman Old Style" w:hAnsi="Bookman Old Style" w:cs="Bookman Old Style"/>
          <w:sz w:val="24"/>
        </w:rPr>
        <w:t xml:space="preserve">de </w:t>
      </w:r>
      <w:r w:rsidR="00E477A3">
        <w:rPr>
          <w:rFonts w:ascii="Bookman Old Style" w:eastAsia="Bookman Old Style" w:hAnsi="Bookman Old Style" w:cs="Bookman Old Style"/>
          <w:sz w:val="24"/>
        </w:rPr>
        <w:t>336</w:t>
      </w:r>
      <w:r w:rsidR="00A05A92">
        <w:rPr>
          <w:rFonts w:ascii="Bookman Old Style" w:eastAsia="Bookman Old Style" w:hAnsi="Bookman Old Style" w:cs="Bookman Old Style"/>
          <w:sz w:val="24"/>
        </w:rPr>
        <w:t xml:space="preserve"> m²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 localizado</w:t>
      </w:r>
      <w:r w:rsidR="009161F0">
        <w:rPr>
          <w:rFonts w:ascii="Bookman Old Style" w:eastAsia="Bookman Old Style" w:hAnsi="Bookman Old Style" w:cs="Bookman Old Style"/>
          <w:sz w:val="24"/>
        </w:rPr>
        <w:t xml:space="preserve"> </w:t>
      </w:r>
      <w:r w:rsidR="00E477A3">
        <w:rPr>
          <w:rFonts w:ascii="Bookman Old Style" w:eastAsia="Bookman Old Style" w:hAnsi="Bookman Old Style" w:cs="Bookman Old Style"/>
          <w:color w:val="auto"/>
          <w:sz w:val="24"/>
          <w:szCs w:val="24"/>
        </w:rPr>
        <w:t>no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Bairro Distrito de Fernando Machado</w:t>
      </w:r>
      <w:r w:rsidRPr="002F7921">
        <w:rPr>
          <w:rFonts w:ascii="Bookman Old Style" w:eastAsia="Bookman Old Style" w:hAnsi="Bookman Old Style" w:cs="Bookman Old Style"/>
          <w:sz w:val="24"/>
        </w:rPr>
        <w:t xml:space="preserve">, </w:t>
      </w:r>
      <w:r w:rsidRPr="00111128">
        <w:rPr>
          <w:rFonts w:ascii="Bookman Old Style" w:eastAsia="Bookman Old Style" w:hAnsi="Bookman Old Style" w:cs="Bookman Old Style"/>
          <w:sz w:val="24"/>
          <w:u w:val="single"/>
        </w:rPr>
        <w:t>por ser o único imóvel</w:t>
      </w:r>
      <w:r w:rsidRPr="002F7921">
        <w:rPr>
          <w:rFonts w:ascii="Bookman Old Style" w:eastAsia="Bookman Old Style" w:hAnsi="Bookman Old Style" w:cs="Bookman Old Style"/>
          <w:sz w:val="24"/>
        </w:rPr>
        <w:t xml:space="preserve"> que apresenta características que atendem aos interes</w:t>
      </w:r>
      <w:r w:rsidR="00F961F2">
        <w:rPr>
          <w:rFonts w:ascii="Bookman Old Style" w:eastAsia="Bookman Old Style" w:hAnsi="Bookman Old Style" w:cs="Bookman Old Style"/>
          <w:sz w:val="24"/>
        </w:rPr>
        <w:t xml:space="preserve">ses da Administração Pública e da </w:t>
      </w:r>
      <w:r w:rsidRPr="00F961F2">
        <w:rPr>
          <w:rFonts w:ascii="Bookman Old Style" w:eastAsia="Bookman Old Style" w:hAnsi="Bookman Old Style" w:cs="Bookman Old Style"/>
          <w:sz w:val="24"/>
        </w:rPr>
        <w:t xml:space="preserve">Secretaria 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Municipal </w:t>
      </w:r>
      <w:r w:rsidR="00E477A3">
        <w:rPr>
          <w:rFonts w:ascii="Bookman Old Style" w:eastAsia="Bookman Old Style" w:hAnsi="Bookman Old Style" w:cs="Bookman Old Style"/>
          <w:sz w:val="24"/>
        </w:rPr>
        <w:t>de Assistência Social Cras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, que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necessita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 de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um local para estabelecer a</w:t>
      </w:r>
      <w:r w:rsidR="009161F0">
        <w:rPr>
          <w:rFonts w:ascii="Bookman Old Style" w:eastAsia="Bookman Old Style" w:hAnsi="Bookman Old Style" w:cs="Bookman Old Style"/>
          <w:sz w:val="24"/>
        </w:rPr>
        <w:t xml:space="preserve">tividades da mesma na </w:t>
      </w:r>
      <w:r w:rsidR="009161F0">
        <w:rPr>
          <w:rFonts w:ascii="Bookman Old Style" w:eastAsia="Bookman Old Style" w:hAnsi="Bookman Old Style" w:cs="Bookman Old Style"/>
          <w:sz w:val="24"/>
        </w:rPr>
        <w:lastRenderedPageBreak/>
        <w:t>comunidade, oportunizando os cidadãos da mesma às atividades da Secretaria</w:t>
      </w:r>
      <w:r w:rsidR="00111128">
        <w:rPr>
          <w:rFonts w:ascii="Bookman Old Style" w:eastAsia="Bookman Old Style" w:hAnsi="Bookman Old Style" w:cs="Bookman Old Style"/>
          <w:sz w:val="24"/>
        </w:rPr>
        <w:t>.</w:t>
      </w:r>
    </w:p>
    <w:p w:rsidR="00E477A3" w:rsidRDefault="00E477A3" w:rsidP="009161F0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Pr="00F961F2" w:rsidRDefault="00111128" w:rsidP="009161F0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N</w:t>
      </w:r>
      <w:r w:rsidR="00C30665" w:rsidRPr="00860868">
        <w:rPr>
          <w:rFonts w:ascii="Bookman Old Style" w:eastAsia="Bookman Old Style" w:hAnsi="Bookman Old Style" w:cs="Bookman Old Style"/>
          <w:sz w:val="24"/>
        </w:rPr>
        <w:t>esse sentindo, o que leciona Marçal Justem Filho:</w:t>
      </w:r>
      <w:r w:rsidR="00C30665">
        <w:rPr>
          <w:rFonts w:ascii="Bookman Old Style" w:eastAsia="Bookman Old Style" w:hAnsi="Bookman Old Style" w:cs="Bookman Old Style"/>
          <w:sz w:val="24"/>
        </w:rPr>
        <w:t xml:space="preserve">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1" w:line="240" w:lineRule="auto"/>
        <w:ind w:left="2264" w:right="3" w:hanging="10"/>
        <w:jc w:val="both"/>
      </w:pPr>
      <w:r>
        <w:rPr>
          <w:rFonts w:ascii="Bookman Old Style" w:eastAsia="Bookman Old Style" w:hAnsi="Bookman Old Style" w:cs="Bookman Old Style"/>
          <w:sz w:val="20"/>
        </w:rPr>
        <w:t xml:space="preserve">"A ausência de licitação deriva da impossibilidade de o interesse público ser satisfeito através de outro imóvel, que não aquele selecionado. As características do imóvel (tais como localização, dimensão, edificação, destinação etc.) são relevantes, de modo que a administração não tem outra escolha. Quando a Administração necessita de imóvel para destinação peculiar ou com localização determinada, não se torna possível a competição entre particulares". (JUSTEN FILHO, Marçal. (Comentários à lei de licitações e contratos administrativos. 8ed. São Paulo: Dialética, 2000.p.252)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Verifica-se que o objeto está vinculado a uma finalid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ade essencial da administração e da </w:t>
      </w:r>
      <w:r w:rsidR="0050420C" w:rsidRPr="00F961F2">
        <w:rPr>
          <w:rFonts w:ascii="Bookman Old Style" w:eastAsia="Bookman Old Style" w:hAnsi="Bookman Old Style" w:cs="Bookman Old Style"/>
          <w:sz w:val="24"/>
        </w:rPr>
        <w:t xml:space="preserve">Secretaria </w:t>
      </w:r>
      <w:r w:rsidR="0050420C" w:rsidRPr="00860868">
        <w:rPr>
          <w:rFonts w:ascii="Bookman Old Style" w:eastAsia="Bookman Old Style" w:hAnsi="Bookman Old Style" w:cs="Bookman Old Style"/>
          <w:sz w:val="24"/>
        </w:rPr>
        <w:t xml:space="preserve">Municipal </w:t>
      </w:r>
      <w:r w:rsidR="0050420C">
        <w:rPr>
          <w:rFonts w:ascii="Bookman Old Style" w:eastAsia="Bookman Old Style" w:hAnsi="Bookman Old Style" w:cs="Bookman Old Style"/>
          <w:sz w:val="24"/>
        </w:rPr>
        <w:t>de Assistência Social Cras</w:t>
      </w:r>
      <w:r w:rsidR="007C2EC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e neste caso, o inciso X do artigo 24 da Lei 8.666/93, declara que é dispensável a licitação quando o serviço demandar necessidades especiais de instalação e localização, desde que o preço seja compatível com o valor de mer</w:t>
      </w:r>
      <w:r w:rsidR="007C2EC2">
        <w:rPr>
          <w:rFonts w:ascii="Bookman Old Style" w:eastAsia="Bookman Old Style" w:hAnsi="Bookman Old Style" w:cs="Bookman Old Style"/>
          <w:sz w:val="24"/>
          <w:szCs w:val="24"/>
        </w:rPr>
        <w:t>cado, o que se verifica no caso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. </w:t>
      </w:r>
    </w:p>
    <w:p w:rsidR="006B28BF" w:rsidRPr="00A05A92" w:rsidRDefault="006B28BF">
      <w:pPr>
        <w:spacing w:after="0" w:line="248" w:lineRule="auto"/>
        <w:ind w:left="-5" w:right="4" w:hanging="10"/>
        <w:jc w:val="both"/>
        <w:rPr>
          <w:color w:val="auto"/>
          <w:sz w:val="24"/>
          <w:szCs w:val="24"/>
        </w:rPr>
      </w:pP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color w:val="auto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Desta forma, a locação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da sala comercial</w:t>
      </w:r>
      <w:r w:rsidR="0050420C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em questão</w:t>
      </w:r>
      <w:r w:rsidR="00A05A92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atende as necessidad</w:t>
      </w:r>
      <w:r w:rsidR="0022131E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es da Secretaria solicitante e 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conforme laudo de avaliação prévia do imóvel </w:t>
      </w:r>
      <w:r w:rsidR="00AE65FD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e orçamento, 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>o</w:t>
      </w:r>
      <w:r w:rsidR="00473FCE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valor mensal da locação </w:t>
      </w:r>
      <w:r w:rsidR="00AE65FD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será </w:t>
      </w:r>
      <w:r w:rsidR="00473FCE"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de R$ </w:t>
      </w:r>
      <w:r w:rsidR="00AE65FD"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>6</w:t>
      </w:r>
      <w:r w:rsidR="0050420C"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>00,00 (</w:t>
      </w:r>
      <w:r w:rsidR="00AE65FD"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>Seiscentos</w:t>
      </w:r>
      <w:r w:rsidR="00992163"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reais)</w:t>
      </w:r>
      <w:r w:rsidRP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é</w:t>
      </w:r>
      <w:r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compatível com</w:t>
      </w:r>
      <w:r w:rsidR="00AA024A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o preço praticável no mercado.</w:t>
      </w:r>
      <w:r w:rsidR="00E71579" w:rsidRPr="00A05A92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</w:p>
    <w:p w:rsidR="00E50B2C" w:rsidRPr="00A05A92" w:rsidRDefault="00C30665">
      <w:pPr>
        <w:spacing w:after="0"/>
        <w:rPr>
          <w:color w:val="FF0000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color w:val="FF0000"/>
          <w:sz w:val="24"/>
          <w:szCs w:val="24"/>
        </w:rPr>
        <w:t xml:space="preserve"> </w:t>
      </w:r>
    </w:p>
    <w:p w:rsidR="007309D6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>III – DA JUSTIFICATIVA DA DISPENSA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 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Diz o art. 26 da Lei 8.666/93, em seu parágrafo único: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spacing w:after="0" w:line="248" w:lineRule="auto"/>
        <w:ind w:left="3965" w:right="1" w:hanging="10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Caracterização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da situação emergencial ou calamitosa que justifique a dispensa, quando for o caso;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razão da escolha do fornecedor ou executante; </w:t>
      </w:r>
    </w:p>
    <w:p w:rsidR="00E50B2C" w:rsidRPr="00A05A92" w:rsidRDefault="00C30665">
      <w:pPr>
        <w:numPr>
          <w:ilvl w:val="0"/>
          <w:numId w:val="1"/>
        </w:numPr>
        <w:spacing w:after="0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justificativa do preço; </w:t>
      </w:r>
    </w:p>
    <w:p w:rsidR="00E50B2C" w:rsidRPr="00A05A92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  <w:rPr>
          <w:sz w:val="20"/>
        </w:rPr>
      </w:pP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–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Documentos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de aprovação dos projetos de pesquisa aos quais os bens serão </w:t>
      </w:r>
      <w:r w:rsidR="00111128" w:rsidRPr="00A05A92">
        <w:rPr>
          <w:rFonts w:ascii="Bookman Old Style" w:eastAsia="Bookman Old Style" w:hAnsi="Bookman Old Style" w:cs="Bookman Old Style"/>
          <w:i/>
          <w:sz w:val="20"/>
        </w:rPr>
        <w:t>alocados. ”</w:t>
      </w:r>
      <w:r w:rsidRPr="00A05A92">
        <w:rPr>
          <w:rFonts w:ascii="Bookman Old Style" w:eastAsia="Bookman Old Style" w:hAnsi="Bookman Old Style" w:cs="Bookman Old Style"/>
          <w:i/>
          <w:sz w:val="20"/>
        </w:rPr>
        <w:t xml:space="preserve">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IV </w:t>
      </w:r>
      <w:r w:rsidRPr="00A05A92">
        <w:rPr>
          <w:i/>
          <w:sz w:val="24"/>
          <w:szCs w:val="24"/>
        </w:rPr>
        <w:t xml:space="preserve">– </w:t>
      </w:r>
      <w:r w:rsidRPr="00A05A92">
        <w:rPr>
          <w:sz w:val="24"/>
          <w:szCs w:val="24"/>
        </w:rPr>
        <w:t xml:space="preserve">DA ESCOLHA DO FORNECEDOR OU EXECUTANTE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F948FE" w:rsidRPr="00A05A92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O escolhido para sacramentar a contratação do objeto pretendido, foi: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spacing w:after="0" w:line="248" w:lineRule="auto"/>
        <w:ind w:left="1143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● </w:t>
      </w:r>
      <w:r w:rsidR="0050420C">
        <w:rPr>
          <w:rFonts w:ascii="Bookman Old Style" w:eastAsia="Bookman Old Style" w:hAnsi="Bookman Old Style" w:cs="Bookman Old Style"/>
          <w:b/>
          <w:sz w:val="24"/>
          <w:szCs w:val="24"/>
        </w:rPr>
        <w:t>CLUBE DE IDOSOS VIVER A VIDA</w:t>
      </w:r>
      <w:r w:rsidRPr="00A05A92">
        <w:rPr>
          <w:rFonts w:ascii="Bookman Old Style" w:eastAsia="Bookman Old Style" w:hAnsi="Bookman Old Style" w:cs="Bookman Old Style"/>
          <w:b/>
          <w:sz w:val="24"/>
          <w:szCs w:val="24"/>
        </w:rPr>
        <w:t xml:space="preserve">, 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>inscrit</w:t>
      </w:r>
      <w:r w:rsidR="002F7921" w:rsidRPr="00A05A92">
        <w:rPr>
          <w:rFonts w:ascii="Bookman Old Style" w:eastAsia="Bookman Old Style" w:hAnsi="Bookman Old Style" w:cs="Bookman Old Style"/>
          <w:sz w:val="24"/>
          <w:szCs w:val="24"/>
        </w:rPr>
        <w:t>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no 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CNPJ 00.106.140/0001-49</w:t>
      </w:r>
      <w:r w:rsidR="00F961F2" w:rsidRPr="00A05A92">
        <w:rPr>
          <w:rFonts w:ascii="Bookman Old Style" w:eastAsia="Bookman Old Style" w:hAnsi="Bookman Old Style" w:cs="Bookman Old Style"/>
          <w:sz w:val="24"/>
          <w:szCs w:val="24"/>
        </w:rPr>
        <w:t>,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 xml:space="preserve"> associação privada,</w:t>
      </w:r>
      <w:r w:rsidR="00F961F2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t>residente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 e domiciliado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B3165C" w:rsidRPr="00A05A92">
        <w:rPr>
          <w:rFonts w:ascii="Bookman Old Style" w:eastAsia="Bookman Old Style" w:hAnsi="Bookman Old Style" w:cs="Bookman Old Style"/>
          <w:sz w:val="24"/>
          <w:szCs w:val="24"/>
        </w:rPr>
        <w:lastRenderedPageBreak/>
        <w:t xml:space="preserve">na 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Linha Fernando Machado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, 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S/N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, 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Interior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, 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em Cordilheira Alta/</w:t>
      </w:r>
      <w:r w:rsidR="00F37C7D">
        <w:rPr>
          <w:rFonts w:ascii="Bookman Old Style" w:eastAsia="Bookman Old Style" w:hAnsi="Bookman Old Style" w:cs="Bookman Old Style"/>
          <w:sz w:val="24"/>
          <w:szCs w:val="24"/>
        </w:rPr>
        <w:t xml:space="preserve"> SC. </w:t>
      </w:r>
    </w:p>
    <w:p w:rsidR="00E50B2C" w:rsidRPr="00A05A92" w:rsidRDefault="00C30665">
      <w:pPr>
        <w:spacing w:after="0"/>
        <w:ind w:left="1361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E50B2C">
      <w:pPr>
        <w:spacing w:after="0"/>
        <w:rPr>
          <w:sz w:val="24"/>
          <w:szCs w:val="24"/>
        </w:rPr>
      </w:pPr>
    </w:p>
    <w:p w:rsidR="007309D6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>VI– DA JUSTIFICATIVA DO PREÇO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 </w:t>
      </w: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No caso em questão verificamos que o preço é compatível com o praticável no mercado, </w:t>
      </w:r>
      <w:r w:rsidRPr="00AE65FD">
        <w:rPr>
          <w:rFonts w:ascii="Bookman Old Style" w:eastAsia="Bookman Old Style" w:hAnsi="Bookman Old Style" w:cs="Bookman Old Style"/>
          <w:sz w:val="24"/>
          <w:szCs w:val="24"/>
        </w:rPr>
        <w:t>conforme</w:t>
      </w:r>
      <w:r w:rsidR="00AE0315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 avaliação realizada no im</w:t>
      </w:r>
      <w:r w:rsidR="00F37C7D" w:rsidRPr="00AE65FD">
        <w:rPr>
          <w:rFonts w:ascii="Bookman Old Style" w:eastAsia="Bookman Old Style" w:hAnsi="Bookman Old Style" w:cs="Bookman Old Style"/>
          <w:sz w:val="24"/>
          <w:szCs w:val="24"/>
        </w:rPr>
        <w:t>óvel por C</w:t>
      </w:r>
      <w:r w:rsidR="00AE0315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omissão </w:t>
      </w:r>
      <w:r w:rsidR="00F37C7D" w:rsidRPr="00AE65FD">
        <w:rPr>
          <w:rFonts w:ascii="Bookman Old Style" w:eastAsia="Bookman Old Style" w:hAnsi="Bookman Old Style" w:cs="Bookman Old Style"/>
          <w:sz w:val="24"/>
          <w:szCs w:val="24"/>
        </w:rPr>
        <w:t>E</w:t>
      </w:r>
      <w:r w:rsidR="00AE0315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special de </w:t>
      </w:r>
      <w:r w:rsidR="00F37C7D" w:rsidRPr="00AE65FD">
        <w:rPr>
          <w:rFonts w:ascii="Bookman Old Style" w:eastAsia="Bookman Old Style" w:hAnsi="Bookman Old Style" w:cs="Bookman Old Style"/>
          <w:sz w:val="24"/>
          <w:szCs w:val="24"/>
        </w:rPr>
        <w:t>A</w:t>
      </w:r>
      <w:r w:rsidR="00111128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valiação - </w:t>
      </w:r>
      <w:r w:rsidR="00AE0315" w:rsidRPr="00AE65FD">
        <w:rPr>
          <w:rFonts w:ascii="Bookman Old Style" w:eastAsia="Bookman Old Style" w:hAnsi="Bookman Old Style" w:cs="Bookman Old Style"/>
          <w:sz w:val="24"/>
          <w:szCs w:val="24"/>
        </w:rPr>
        <w:t>ATA</w:t>
      </w:r>
      <w:r w:rsidR="00AE65FD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 14</w:t>
      </w:r>
      <w:r w:rsidR="00111128" w:rsidRPr="00AE65FD">
        <w:rPr>
          <w:rFonts w:ascii="Bookman Old Style" w:eastAsia="Bookman Old Style" w:hAnsi="Bookman Old Style" w:cs="Bookman Old Style"/>
          <w:sz w:val="24"/>
          <w:szCs w:val="24"/>
        </w:rPr>
        <w:t xml:space="preserve"> (anexo junto ao processo)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 xml:space="preserve"> e orçamento de locação.</w:t>
      </w:r>
    </w:p>
    <w:p w:rsidR="00E50B2C" w:rsidRPr="00A05A92" w:rsidRDefault="00C30665">
      <w:pPr>
        <w:spacing w:after="0"/>
        <w:rPr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t xml:space="preserve">VII- DO PAGAMENTO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E50B2C" w:rsidRPr="00A05A92" w:rsidRDefault="00AE031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O Município pagará pelo o</w:t>
      </w:r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bjeto contratado, o valor mensal de R$ 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>6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00,00 (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>seiscentos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 xml:space="preserve"> reais)</w:t>
      </w:r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totalizando o valor estimado para 12 meses de </w:t>
      </w:r>
      <w:bookmarkStart w:id="0" w:name="_GoBack"/>
      <w:r w:rsidR="00C30665"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R$ 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>7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>2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00,00 (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>Sete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 xml:space="preserve"> mil</w:t>
      </w:r>
      <w:r w:rsidR="00AE65FD">
        <w:rPr>
          <w:rFonts w:ascii="Bookman Old Style" w:eastAsia="Bookman Old Style" w:hAnsi="Bookman Old Style" w:cs="Bookman Old Style"/>
          <w:sz w:val="24"/>
          <w:szCs w:val="24"/>
        </w:rPr>
        <w:t xml:space="preserve"> e duzentos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 xml:space="preserve"> reais).</w:t>
      </w:r>
    </w:p>
    <w:bookmarkEnd w:id="0"/>
    <w:p w:rsidR="0050420C" w:rsidRDefault="0050420C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As despesas decorrentes desta dispensa de licitação correrão a cargo da d</w:t>
      </w:r>
      <w:r w:rsidR="00992163">
        <w:rPr>
          <w:rFonts w:ascii="Bookman Old Style" w:eastAsia="Bookman Old Style" w:hAnsi="Bookman Old Style" w:cs="Bookman Old Style"/>
          <w:sz w:val="24"/>
          <w:szCs w:val="24"/>
        </w:rPr>
        <w:t>otaçã</w:t>
      </w:r>
      <w:r w:rsidR="00992163" w:rsidRPr="00F53B9E">
        <w:rPr>
          <w:rFonts w:ascii="Bookman Old Style" w:eastAsia="Bookman Old Style" w:hAnsi="Bookman Old Style" w:cs="Bookman Old Style"/>
          <w:sz w:val="24"/>
          <w:szCs w:val="24"/>
        </w:rPr>
        <w:t>o: (Projeto Atividade</w:t>
      </w:r>
      <w:r w:rsidR="00981660" w:rsidRPr="00F53B9E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F53B9E" w:rsidRPr="00F53B9E">
        <w:rPr>
          <w:rFonts w:ascii="Bookman Old Style" w:eastAsia="Bookman Old Style" w:hAnsi="Bookman Old Style" w:cs="Bookman Old Style"/>
          <w:sz w:val="24"/>
          <w:szCs w:val="24"/>
        </w:rPr>
        <w:t>2.00</w:t>
      </w:r>
      <w:r w:rsidR="0085239A" w:rsidRPr="00F53B9E">
        <w:rPr>
          <w:rFonts w:ascii="Bookman Old Style" w:eastAsia="Bookman Old Style" w:hAnsi="Bookman Old Style" w:cs="Bookman Old Style"/>
          <w:sz w:val="24"/>
          <w:szCs w:val="24"/>
        </w:rPr>
        <w:t xml:space="preserve">6 </w:t>
      </w:r>
      <w:r w:rsidR="00F53B9E" w:rsidRPr="00F53B9E">
        <w:rPr>
          <w:rFonts w:ascii="Bookman Old Style" w:eastAsia="Bookman Old Style" w:hAnsi="Bookman Old Style" w:cs="Bookman Old Style"/>
          <w:sz w:val="24"/>
          <w:szCs w:val="24"/>
        </w:rPr>
        <w:t>– Elemento 3.3.9</w:t>
      </w:r>
      <w:r w:rsidR="00A17C91">
        <w:rPr>
          <w:rFonts w:ascii="Bookman Old Style" w:eastAsia="Bookman Old Style" w:hAnsi="Bookman Old Style" w:cs="Bookman Old Style"/>
          <w:sz w:val="24"/>
          <w:szCs w:val="24"/>
        </w:rPr>
        <w:t>0</w:t>
      </w:r>
      <w:r w:rsidRPr="00F53B9E">
        <w:rPr>
          <w:rFonts w:ascii="Bookman Old Style" w:eastAsia="Bookman Old Style" w:hAnsi="Bookman Old Style" w:cs="Bookman Old Style"/>
          <w:sz w:val="24"/>
          <w:szCs w:val="24"/>
        </w:rPr>
        <w:t>), prevista na Lei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Orçamentária do Exercício de 20</w:t>
      </w:r>
      <w:r w:rsidR="0050420C">
        <w:rPr>
          <w:rFonts w:ascii="Bookman Old Style" w:eastAsia="Bookman Old Style" w:hAnsi="Bookman Old Style" w:cs="Bookman Old Style"/>
          <w:sz w:val="24"/>
          <w:szCs w:val="24"/>
        </w:rPr>
        <w:t>22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. </w:t>
      </w:r>
    </w:p>
    <w:p w:rsidR="00E50B2C" w:rsidRPr="00A05A92" w:rsidRDefault="00C30665">
      <w:pPr>
        <w:spacing w:after="0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F1776D" w:rsidRDefault="00C30665">
      <w:pPr>
        <w:spacing w:after="10" w:line="248" w:lineRule="auto"/>
        <w:ind w:left="-5" w:hanging="10"/>
        <w:rPr>
          <w:rFonts w:ascii="Bookman Old Style" w:eastAsia="Bookman Old Style" w:hAnsi="Bookman Old Style" w:cs="Bookman Old Style"/>
          <w:b/>
          <w:color w:val="auto"/>
          <w:sz w:val="24"/>
          <w:szCs w:val="24"/>
        </w:rPr>
      </w:pPr>
      <w:r w:rsidRPr="00F1776D">
        <w:rPr>
          <w:rFonts w:ascii="Bookman Old Style" w:eastAsia="Bookman Old Style" w:hAnsi="Bookman Old Style" w:cs="Bookman Old Style"/>
          <w:b/>
          <w:color w:val="auto"/>
          <w:sz w:val="24"/>
          <w:szCs w:val="24"/>
        </w:rPr>
        <w:t xml:space="preserve">VIII – DA REGULARIDADE FISCAL E TRABALHISTA DO FORNECEDOR OU EXECUTANTE: </w:t>
      </w:r>
    </w:p>
    <w:p w:rsidR="007309D6" w:rsidRPr="00992163" w:rsidRDefault="007309D6">
      <w:pPr>
        <w:spacing w:after="10" w:line="248" w:lineRule="auto"/>
        <w:ind w:left="-5" w:hanging="10"/>
        <w:rPr>
          <w:rFonts w:ascii="Bookman Old Style" w:hAnsi="Bookman Old Style"/>
          <w:color w:val="auto"/>
          <w:sz w:val="24"/>
          <w:szCs w:val="24"/>
        </w:rPr>
      </w:pPr>
    </w:p>
    <w:p w:rsidR="00E50B2C" w:rsidRPr="00992163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- Prova de regularidade para com a Fazenda Federal compreendendo os Tributos administrativos pela Secretaria da Receita Federal, com validade para o dia </w:t>
      </w:r>
      <w:r w:rsidR="00F53B9E">
        <w:rPr>
          <w:rFonts w:ascii="Bookman Old Style" w:eastAsia="Bookman Old Style" w:hAnsi="Bookman Old Style" w:cs="Bookman Old Style"/>
          <w:color w:val="auto"/>
          <w:sz w:val="24"/>
          <w:szCs w:val="24"/>
        </w:rPr>
        <w:t>24/09</w:t>
      </w:r>
      <w:r w:rsidR="00992163"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/2022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. </w:t>
      </w:r>
    </w:p>
    <w:p w:rsidR="00EC11D4" w:rsidRPr="00992163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6B1D5C">
        <w:rPr>
          <w:rFonts w:ascii="Bookman Old Style" w:eastAsia="Bookman Old Style" w:hAnsi="Bookman Old Style" w:cs="Bookman Old Style"/>
          <w:color w:val="auto"/>
          <w:sz w:val="24"/>
          <w:szCs w:val="24"/>
        </w:rPr>
        <w:t>13/05/2022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.</w:t>
      </w:r>
    </w:p>
    <w:p w:rsidR="00E50B2C" w:rsidRPr="00F53B9E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- Prova de regularidade perante a Fazenda Municipal, comprovado com Certidão Negativa de Débito, com validade para o dia </w:t>
      </w:r>
      <w:r w:rsidR="006B1D5C">
        <w:rPr>
          <w:rFonts w:ascii="Bookman Old Style" w:eastAsia="Bookman Old Style" w:hAnsi="Bookman Old Style" w:cs="Bookman Old Style"/>
          <w:color w:val="auto"/>
          <w:sz w:val="24"/>
          <w:szCs w:val="24"/>
        </w:rPr>
        <w:t>14/09</w:t>
      </w:r>
      <w:r w:rsidR="00992163"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>/2022</w:t>
      </w: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. </w:t>
      </w: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  <w:r w:rsidRPr="00F53B9E">
        <w:rPr>
          <w:rFonts w:ascii="Bookman Old Style" w:hAnsi="Bookman Old Style"/>
          <w:color w:val="auto"/>
          <w:sz w:val="24"/>
          <w:szCs w:val="24"/>
        </w:rPr>
        <w:t>IV</w:t>
      </w:r>
      <w:r w:rsidRPr="00F53B9E">
        <w:rPr>
          <w:rFonts w:ascii="Bookman Old Style" w:hAnsi="Bookman Old Style"/>
          <w:color w:val="auto"/>
          <w:sz w:val="24"/>
          <w:szCs w:val="24"/>
        </w:rPr>
        <w:tab/>
        <w:t>- Prova de regularidade perante o FGTS, comprovado com Certidão Negativa de D</w:t>
      </w:r>
      <w:r w:rsidR="006B1D5C">
        <w:rPr>
          <w:rFonts w:ascii="Bookman Old Style" w:hAnsi="Bookman Old Style"/>
          <w:color w:val="auto"/>
          <w:sz w:val="24"/>
          <w:szCs w:val="24"/>
        </w:rPr>
        <w:t>ébito com validade para o dia 30</w:t>
      </w:r>
      <w:r w:rsidRPr="00F53B9E">
        <w:rPr>
          <w:rFonts w:ascii="Bookman Old Style" w:hAnsi="Bookman Old Style"/>
          <w:color w:val="auto"/>
          <w:sz w:val="24"/>
          <w:szCs w:val="24"/>
        </w:rPr>
        <w:t xml:space="preserve">/04/2022. </w:t>
      </w: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  <w:r w:rsidRPr="00F53B9E">
        <w:rPr>
          <w:rFonts w:ascii="Bookman Old Style" w:hAnsi="Bookman Old Style"/>
          <w:color w:val="auto"/>
          <w:sz w:val="24"/>
          <w:szCs w:val="24"/>
        </w:rPr>
        <w:t>V</w:t>
      </w:r>
      <w:r w:rsidRPr="00F53B9E">
        <w:rPr>
          <w:rFonts w:ascii="Bookman Old Style" w:hAnsi="Bookman Old Style"/>
          <w:color w:val="auto"/>
          <w:sz w:val="24"/>
          <w:szCs w:val="24"/>
        </w:rPr>
        <w:tab/>
        <w:t>- Prova de regularidade perante a Justiça do trabalho, comprovado com Certidão Negativa de Débito exp</w:t>
      </w:r>
      <w:r w:rsidR="006B1D5C">
        <w:rPr>
          <w:rFonts w:ascii="Bookman Old Style" w:hAnsi="Bookman Old Style"/>
          <w:color w:val="auto"/>
          <w:sz w:val="24"/>
          <w:szCs w:val="24"/>
        </w:rPr>
        <w:t>edida com validade para o dia 14</w:t>
      </w:r>
      <w:r w:rsidRPr="00F53B9E">
        <w:rPr>
          <w:rFonts w:ascii="Bookman Old Style" w:hAnsi="Bookman Old Style"/>
          <w:color w:val="auto"/>
          <w:sz w:val="24"/>
          <w:szCs w:val="24"/>
        </w:rPr>
        <w:t xml:space="preserve">/09/2022. </w:t>
      </w: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</w:p>
    <w:p w:rsidR="00F53B9E" w:rsidRPr="006B1D5C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b/>
          <w:color w:val="auto"/>
          <w:sz w:val="24"/>
          <w:szCs w:val="24"/>
        </w:rPr>
      </w:pPr>
      <w:r w:rsidRPr="006B1D5C">
        <w:rPr>
          <w:rFonts w:ascii="Bookman Old Style" w:hAnsi="Bookman Old Style"/>
          <w:b/>
          <w:color w:val="auto"/>
          <w:sz w:val="24"/>
          <w:szCs w:val="24"/>
        </w:rPr>
        <w:t>IX – DA QUALIFICAÇÃO ECONÔMICO-FINANCEIRA</w:t>
      </w: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  <w:r w:rsidRPr="00F53B9E">
        <w:rPr>
          <w:rFonts w:ascii="Bookman Old Style" w:hAnsi="Bookman Old Style"/>
          <w:color w:val="auto"/>
          <w:sz w:val="24"/>
          <w:szCs w:val="24"/>
        </w:rPr>
        <w:t>I – Certidão de Falência, Concordata e recuperação Judicial emi</w:t>
      </w:r>
      <w:r w:rsidR="006B1D5C">
        <w:rPr>
          <w:rFonts w:ascii="Bookman Old Style" w:hAnsi="Bookman Old Style"/>
          <w:color w:val="auto"/>
          <w:sz w:val="24"/>
          <w:szCs w:val="24"/>
        </w:rPr>
        <w:t>tida pelo Eproc, com validade 18</w:t>
      </w:r>
      <w:r w:rsidRPr="00F53B9E">
        <w:rPr>
          <w:rFonts w:ascii="Bookman Old Style" w:hAnsi="Bookman Old Style"/>
          <w:color w:val="auto"/>
          <w:sz w:val="24"/>
          <w:szCs w:val="24"/>
        </w:rPr>
        <w:t>/05/2022;</w:t>
      </w:r>
    </w:p>
    <w:p w:rsidR="00F53B9E" w:rsidRPr="00F53B9E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</w:p>
    <w:p w:rsidR="00F53B9E" w:rsidRPr="00992163" w:rsidRDefault="00F53B9E" w:rsidP="00F53B9E">
      <w:pPr>
        <w:spacing w:after="0" w:line="248" w:lineRule="auto"/>
        <w:ind w:left="10" w:right="4"/>
        <w:jc w:val="both"/>
        <w:rPr>
          <w:rFonts w:ascii="Bookman Old Style" w:hAnsi="Bookman Old Style"/>
          <w:color w:val="auto"/>
          <w:sz w:val="24"/>
          <w:szCs w:val="24"/>
        </w:rPr>
      </w:pPr>
      <w:r w:rsidRPr="00F53B9E">
        <w:rPr>
          <w:rFonts w:ascii="Bookman Old Style" w:hAnsi="Bookman Old Style"/>
          <w:color w:val="auto"/>
          <w:sz w:val="24"/>
          <w:szCs w:val="24"/>
        </w:rPr>
        <w:t>II –Certidão de Falência, Concordata e recuperação Judicial e</w:t>
      </w:r>
      <w:r w:rsidR="006B1D5C">
        <w:rPr>
          <w:rFonts w:ascii="Bookman Old Style" w:hAnsi="Bookman Old Style"/>
          <w:color w:val="auto"/>
          <w:sz w:val="24"/>
          <w:szCs w:val="24"/>
        </w:rPr>
        <w:t>mitida pelo Saj, com validade 18</w:t>
      </w:r>
      <w:r w:rsidRPr="00F53B9E">
        <w:rPr>
          <w:rFonts w:ascii="Bookman Old Style" w:hAnsi="Bookman Old Style"/>
          <w:color w:val="auto"/>
          <w:sz w:val="24"/>
          <w:szCs w:val="24"/>
        </w:rPr>
        <w:t>/05/2022.</w:t>
      </w:r>
    </w:p>
    <w:p w:rsidR="00E50B2C" w:rsidRPr="00992163" w:rsidRDefault="00C30665">
      <w:pPr>
        <w:spacing w:after="0"/>
        <w:rPr>
          <w:rFonts w:ascii="Bookman Old Style" w:hAnsi="Bookman Old Style"/>
          <w:color w:val="auto"/>
          <w:sz w:val="24"/>
          <w:szCs w:val="24"/>
        </w:rPr>
      </w:pPr>
      <w:r w:rsidRPr="00992163">
        <w:rPr>
          <w:rFonts w:ascii="Bookman Old Style" w:eastAsia="Bookman Old Style" w:hAnsi="Bookman Old Style" w:cs="Bookman Old Style"/>
          <w:color w:val="auto"/>
          <w:sz w:val="24"/>
          <w:szCs w:val="24"/>
        </w:rPr>
        <w:t xml:space="preserve"> </w:t>
      </w:r>
    </w:p>
    <w:p w:rsidR="00E50B2C" w:rsidRPr="00A05A92" w:rsidRDefault="00C30665">
      <w:pPr>
        <w:pStyle w:val="Ttulo2"/>
        <w:ind w:left="-5"/>
        <w:rPr>
          <w:sz w:val="24"/>
          <w:szCs w:val="24"/>
        </w:rPr>
      </w:pPr>
      <w:r w:rsidRPr="00A05A92">
        <w:rPr>
          <w:sz w:val="24"/>
          <w:szCs w:val="24"/>
        </w:rPr>
        <w:lastRenderedPageBreak/>
        <w:t xml:space="preserve">IX – CONCLUSÃO </w:t>
      </w:r>
    </w:p>
    <w:p w:rsidR="007309D6" w:rsidRPr="00A05A92" w:rsidRDefault="007309D6" w:rsidP="007309D6">
      <w:pPr>
        <w:rPr>
          <w:sz w:val="24"/>
          <w:szCs w:val="24"/>
        </w:rPr>
      </w:pPr>
    </w:p>
    <w:p w:rsidR="00E50B2C" w:rsidRPr="00A05A92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>Em relação aos preços, verifica-se que os mesmos estão compatíveis com a realidade do mercado</w:t>
      </w:r>
      <w:r w:rsidR="00111128">
        <w:rPr>
          <w:rFonts w:ascii="Bookman Old Style" w:eastAsia="Bookman Old Style" w:hAnsi="Bookman Old Style" w:cs="Bookman Old Style"/>
          <w:sz w:val="24"/>
          <w:szCs w:val="24"/>
        </w:rPr>
        <w:t xml:space="preserve"> conforme prévia avaliação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, podendo a Administração contratar sem qualquer afronta à lei de regência dos certames licitatórios. </w:t>
      </w:r>
    </w:p>
    <w:p w:rsidR="00E50B2C" w:rsidRPr="00A05A92" w:rsidRDefault="00C30665">
      <w:pPr>
        <w:spacing w:after="0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Pr="00A05A92" w:rsidRDefault="00C30665" w:rsidP="00EC11D4">
      <w:pPr>
        <w:spacing w:after="0" w:line="248" w:lineRule="auto"/>
        <w:ind w:left="4111" w:right="4" w:hanging="142"/>
        <w:jc w:val="both"/>
        <w:rPr>
          <w:rFonts w:ascii="Bookman Old Style" w:hAnsi="Bookman Old Style"/>
          <w:sz w:val="24"/>
          <w:szCs w:val="24"/>
        </w:rPr>
      </w:pPr>
      <w:r w:rsidRPr="006B1D5C">
        <w:rPr>
          <w:rFonts w:ascii="Bookman Old Style" w:eastAsia="Bookman Old Style" w:hAnsi="Bookman Old Style" w:cs="Bookman Old Style"/>
          <w:sz w:val="24"/>
          <w:szCs w:val="24"/>
        </w:rPr>
        <w:t xml:space="preserve">Cordilheira Alta/SC, </w:t>
      </w:r>
      <w:r w:rsidR="006B1D5C" w:rsidRPr="006B1D5C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>06 de abril</w:t>
      </w:r>
      <w:r w:rsidR="00EC11D4" w:rsidRPr="006B1D5C">
        <w:rPr>
          <w:rFonts w:ascii="Bookman Old Style" w:eastAsia="Bookman Old Style" w:hAnsi="Bookman Old Style" w:cs="Bookman Old Style"/>
          <w:color w:val="000000" w:themeColor="text1"/>
          <w:sz w:val="24"/>
          <w:szCs w:val="24"/>
        </w:rPr>
        <w:t xml:space="preserve"> </w:t>
      </w:r>
      <w:r w:rsidRPr="006B1D5C">
        <w:rPr>
          <w:rFonts w:ascii="Bookman Old Style" w:eastAsia="Bookman Old Style" w:hAnsi="Bookman Old Style" w:cs="Bookman Old Style"/>
          <w:sz w:val="24"/>
          <w:szCs w:val="24"/>
        </w:rPr>
        <w:t>de 20</w:t>
      </w:r>
      <w:r w:rsidR="0050420C" w:rsidRPr="006B1D5C">
        <w:rPr>
          <w:rFonts w:ascii="Bookman Old Style" w:eastAsia="Bookman Old Style" w:hAnsi="Bookman Old Style" w:cs="Bookman Old Style"/>
          <w:sz w:val="24"/>
          <w:szCs w:val="24"/>
        </w:rPr>
        <w:t>22</w:t>
      </w:r>
      <w:r w:rsidRPr="006B1D5C">
        <w:rPr>
          <w:rFonts w:ascii="Bookman Old Style" w:eastAsia="Bookman Old Style" w:hAnsi="Bookman Old Style" w:cs="Bookman Old Style"/>
          <w:sz w:val="24"/>
          <w:szCs w:val="24"/>
        </w:rPr>
        <w:t>.</w:t>
      </w: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50B2C" w:rsidRDefault="00C30665">
      <w:pPr>
        <w:spacing w:after="0"/>
        <w:ind w:left="57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50420C" w:rsidRDefault="0050420C">
      <w:pPr>
        <w:spacing w:after="0"/>
        <w:ind w:left="57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</w:p>
    <w:p w:rsidR="0050420C" w:rsidRDefault="0050420C">
      <w:pPr>
        <w:spacing w:after="0"/>
        <w:ind w:left="57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</w:p>
    <w:p w:rsidR="0050420C" w:rsidRDefault="0050420C">
      <w:pPr>
        <w:spacing w:after="0"/>
        <w:ind w:left="57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</w:p>
    <w:p w:rsidR="0050420C" w:rsidRPr="00A05A92" w:rsidRDefault="0050420C">
      <w:pPr>
        <w:spacing w:after="0"/>
        <w:ind w:left="57"/>
        <w:jc w:val="center"/>
        <w:rPr>
          <w:rFonts w:ascii="Bookman Old Style" w:hAnsi="Bookman Old Style"/>
          <w:sz w:val="24"/>
          <w:szCs w:val="24"/>
        </w:rPr>
      </w:pPr>
    </w:p>
    <w:p w:rsidR="00E50B2C" w:rsidRPr="00A05A92" w:rsidRDefault="00C30665">
      <w:pPr>
        <w:spacing w:after="0"/>
        <w:ind w:left="57"/>
        <w:jc w:val="center"/>
        <w:rPr>
          <w:rFonts w:ascii="Bookman Old Style" w:hAnsi="Bookman Old Style"/>
          <w:sz w:val="24"/>
          <w:szCs w:val="24"/>
        </w:rPr>
      </w:pPr>
      <w:r w:rsidRPr="00A05A92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EMERSON VERDI</w:t>
      </w:r>
    </w:p>
    <w:p w:rsidR="00EC11D4" w:rsidRPr="00992163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  <w:t>Presidente da Comissão Permanente de Licitações</w:t>
      </w:r>
    </w:p>
    <w:p w:rsidR="00EC11D4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</w:p>
    <w:p w:rsidR="0050420C" w:rsidRDefault="0050420C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</w:p>
    <w:p w:rsidR="006B1D5C" w:rsidRPr="00992163" w:rsidRDefault="006B1D5C" w:rsidP="006B1D5C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ANGELITA GABRIEL</w:t>
      </w:r>
    </w:p>
    <w:p w:rsidR="00EC11D4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  <w:r w:rsidRPr="00992163"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  <w:t>Membro da Comissão Permanente de Licitações</w:t>
      </w:r>
    </w:p>
    <w:p w:rsidR="0050420C" w:rsidRDefault="0050420C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</w:p>
    <w:p w:rsidR="0050420C" w:rsidRPr="00992163" w:rsidRDefault="0050420C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color w:val="000000" w:themeColor="text1"/>
          <w:sz w:val="24"/>
          <w:szCs w:val="24"/>
          <w:lang w:eastAsia="en-US"/>
        </w:rPr>
      </w:pPr>
    </w:p>
    <w:p w:rsidR="0085239A" w:rsidRDefault="0085239A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</w:p>
    <w:p w:rsidR="00EC11D4" w:rsidRPr="00992163" w:rsidRDefault="006B1D5C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Bookman Old Style" w:hAnsi="Bookman Old Style" w:cs="BookmanOldStyle-Bold"/>
          <w:b/>
          <w:bCs/>
          <w:color w:val="000000" w:themeColor="text1"/>
          <w:sz w:val="24"/>
          <w:szCs w:val="24"/>
          <w:lang w:eastAsia="en-US"/>
        </w:rPr>
        <w:t>SONIA CRISTINA DELLA TORRES BRIANCINI</w:t>
      </w:r>
    </w:p>
    <w:p w:rsidR="00EC11D4" w:rsidRPr="00992163" w:rsidRDefault="00EC11D4" w:rsidP="00EC11D4">
      <w:pPr>
        <w:pStyle w:val="Corpodetexto3"/>
        <w:widowControl w:val="0"/>
        <w:spacing w:after="120"/>
        <w:jc w:val="center"/>
        <w:outlineLvl w:val="0"/>
        <w:rPr>
          <w:rFonts w:ascii="Bookman Old Style" w:hAnsi="Bookman Old Style"/>
          <w:color w:val="000000" w:themeColor="text1"/>
          <w:szCs w:val="24"/>
        </w:rPr>
      </w:pPr>
      <w:r w:rsidRPr="00992163">
        <w:rPr>
          <w:rFonts w:ascii="Bookman Old Style" w:eastAsia="Calibri" w:hAnsi="Bookman Old Style" w:cs="BookmanOldStyle"/>
          <w:color w:val="000000" w:themeColor="text1"/>
          <w:szCs w:val="24"/>
          <w:lang w:eastAsia="en-US"/>
        </w:rPr>
        <w:t>Membro da Comissão Permanente de Licitações</w:t>
      </w:r>
    </w:p>
    <w:sectPr w:rsidR="00EC11D4" w:rsidRPr="00992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8" w:bottom="1166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67" w:rsidRDefault="00DA1B67">
      <w:pPr>
        <w:spacing w:after="0" w:line="240" w:lineRule="auto"/>
      </w:pPr>
      <w:r>
        <w:separator/>
      </w:r>
    </w:p>
  </w:endnote>
  <w:endnote w:type="continuationSeparator" w:id="0">
    <w:p w:rsidR="00DA1B67" w:rsidRDefault="00DA1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17C91" w:rsidRPr="00A17C91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67" w:rsidRDefault="00DA1B67">
      <w:pPr>
        <w:spacing w:after="0" w:line="240" w:lineRule="auto"/>
      </w:pPr>
      <w:r>
        <w:separator/>
      </w:r>
    </w:p>
  </w:footnote>
  <w:footnote w:type="continuationSeparator" w:id="0">
    <w:p w:rsidR="00DA1B67" w:rsidRDefault="00DA1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501F"/>
    <w:multiLevelType w:val="hybridMultilevel"/>
    <w:tmpl w:val="FD50B3E0"/>
    <w:lvl w:ilvl="0" w:tplc="25544B8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BC5A8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A758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8452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17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F6126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52DDB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4DCD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685D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2463F6"/>
    <w:multiLevelType w:val="hybridMultilevel"/>
    <w:tmpl w:val="621AD4D6"/>
    <w:lvl w:ilvl="0" w:tplc="9774CD6E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08FBA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8ADBA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42747A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EDAA6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A865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3A4DC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42DD9C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4069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2C"/>
    <w:rsid w:val="00032865"/>
    <w:rsid w:val="000C60D7"/>
    <w:rsid w:val="000F785C"/>
    <w:rsid w:val="00111128"/>
    <w:rsid w:val="0022131E"/>
    <w:rsid w:val="0025044D"/>
    <w:rsid w:val="002F7921"/>
    <w:rsid w:val="00382D84"/>
    <w:rsid w:val="003C0F9E"/>
    <w:rsid w:val="003E2451"/>
    <w:rsid w:val="003F38BD"/>
    <w:rsid w:val="00473FCE"/>
    <w:rsid w:val="0050420C"/>
    <w:rsid w:val="006B1D5C"/>
    <w:rsid w:val="006B28BF"/>
    <w:rsid w:val="00701111"/>
    <w:rsid w:val="007309D6"/>
    <w:rsid w:val="00746209"/>
    <w:rsid w:val="00763C5B"/>
    <w:rsid w:val="007C0335"/>
    <w:rsid w:val="007C27EC"/>
    <w:rsid w:val="007C2EC2"/>
    <w:rsid w:val="0085239A"/>
    <w:rsid w:val="00860868"/>
    <w:rsid w:val="009161F0"/>
    <w:rsid w:val="00936A86"/>
    <w:rsid w:val="009543B5"/>
    <w:rsid w:val="00981660"/>
    <w:rsid w:val="009873A3"/>
    <w:rsid w:val="00992163"/>
    <w:rsid w:val="009E092C"/>
    <w:rsid w:val="00A05A92"/>
    <w:rsid w:val="00A17C91"/>
    <w:rsid w:val="00A34F5B"/>
    <w:rsid w:val="00A945F1"/>
    <w:rsid w:val="00AA024A"/>
    <w:rsid w:val="00AD1C8F"/>
    <w:rsid w:val="00AE0315"/>
    <w:rsid w:val="00AE65FD"/>
    <w:rsid w:val="00B139F3"/>
    <w:rsid w:val="00B3165C"/>
    <w:rsid w:val="00C30665"/>
    <w:rsid w:val="00CA25F1"/>
    <w:rsid w:val="00CC3DB0"/>
    <w:rsid w:val="00D40E90"/>
    <w:rsid w:val="00DA1B67"/>
    <w:rsid w:val="00DA7A23"/>
    <w:rsid w:val="00DF5D95"/>
    <w:rsid w:val="00E1349C"/>
    <w:rsid w:val="00E477A3"/>
    <w:rsid w:val="00E50B2C"/>
    <w:rsid w:val="00E71579"/>
    <w:rsid w:val="00EC11D4"/>
    <w:rsid w:val="00F1776D"/>
    <w:rsid w:val="00F37C7D"/>
    <w:rsid w:val="00F53B9E"/>
    <w:rsid w:val="00F948FE"/>
    <w:rsid w:val="00F961F2"/>
    <w:rsid w:val="00FD1AB9"/>
    <w:rsid w:val="00FF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2CC9"/>
  <w15:docId w15:val="{C1C35B04-9EEF-4034-ADFA-762468C6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4" w:hanging="10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EC11D4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EC11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FD1AB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A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25F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986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creator>SETOR 0000X</dc:creator>
  <cp:lastModifiedBy>Usuário do Windows</cp:lastModifiedBy>
  <cp:revision>36</cp:revision>
  <cp:lastPrinted>2021-08-12T18:33:00Z</cp:lastPrinted>
  <dcterms:created xsi:type="dcterms:W3CDTF">2021-08-11T12:05:00Z</dcterms:created>
  <dcterms:modified xsi:type="dcterms:W3CDTF">2022-04-06T13:46:00Z</dcterms:modified>
</cp:coreProperties>
</file>