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DE" w:rsidRDefault="007E5EDE">
      <w:pPr>
        <w:ind w:left="-567"/>
        <w:jc w:val="center"/>
        <w:rPr>
          <w:color w:val="000000"/>
          <w:sz w:val="22"/>
          <w:szCs w:val="22"/>
          <w:u w:val="single"/>
        </w:rPr>
      </w:pPr>
    </w:p>
    <w:p w:rsidR="007E5EDE" w:rsidRDefault="001B5BF7">
      <w:pPr>
        <w:pStyle w:val="Ttulo1"/>
        <w:numPr>
          <w:ilvl w:val="0"/>
          <w:numId w:val="1"/>
        </w:numPr>
        <w:spacing w:before="0" w:after="0"/>
        <w:jc w:val="center"/>
      </w:pPr>
      <w:r>
        <w:rPr>
          <w:smallCaps/>
          <w:sz w:val="22"/>
          <w:szCs w:val="22"/>
        </w:rPr>
        <w:t xml:space="preserve"> TERMO DE REFERÊNCIA</w:t>
      </w:r>
    </w:p>
    <w:p w:rsidR="007E5EDE" w:rsidRDefault="007E5EDE">
      <w:pPr>
        <w:jc w:val="both"/>
        <w:rPr>
          <w:b/>
          <w:smallCaps/>
          <w:sz w:val="22"/>
          <w:szCs w:val="22"/>
        </w:rPr>
      </w:pPr>
    </w:p>
    <w:p w:rsidR="007E5EDE" w:rsidRDefault="001B5BF7">
      <w:pPr>
        <w:keepNext/>
        <w:widowControl/>
        <w:tabs>
          <w:tab w:val="center" w:pos="4252"/>
          <w:tab w:val="center" w:pos="4419"/>
          <w:tab w:val="right" w:pos="8504"/>
          <w:tab w:val="right" w:pos="8838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  <w:t>1 - OBJETO</w:t>
      </w:r>
    </w:p>
    <w:p w:rsidR="007E5EDE" w:rsidRDefault="007E5EDE">
      <w:pPr>
        <w:keepNext/>
        <w:widowControl/>
        <w:tabs>
          <w:tab w:val="center" w:pos="4252"/>
          <w:tab w:val="center" w:pos="4419"/>
          <w:tab w:val="right" w:pos="8504"/>
          <w:tab w:val="right" w:pos="8838"/>
        </w:tabs>
        <w:jc w:val="both"/>
        <w:rPr>
          <w:b/>
          <w:sz w:val="22"/>
          <w:szCs w:val="22"/>
        </w:rPr>
      </w:pPr>
    </w:p>
    <w:p w:rsidR="007E5EDE" w:rsidRDefault="001B5BF7">
      <w:pPr>
        <w:spacing w:line="360" w:lineRule="auto"/>
        <w:ind w:hanging="2"/>
        <w:jc w:val="both"/>
        <w:rPr>
          <w:highlight w:val="white"/>
        </w:rPr>
      </w:pPr>
      <w:r>
        <w:rPr>
          <w:highlight w:val="white"/>
        </w:rPr>
        <w:t>1.1 - Registro de preços</w:t>
      </w:r>
      <w:r>
        <w:rPr>
          <w:b/>
          <w:highlight w:val="white"/>
        </w:rPr>
        <w:t xml:space="preserve"> </w:t>
      </w:r>
      <w:r>
        <w:rPr>
          <w:highlight w:val="white"/>
        </w:rPr>
        <w:t>para aquisição de um contêiner usado, conforme especificações constantes no anexo “A” deste edital.</w:t>
      </w:r>
    </w:p>
    <w:p w:rsidR="007E5EDE" w:rsidRDefault="001B5BF7">
      <w:pPr>
        <w:keepNext/>
        <w:widowControl/>
        <w:tabs>
          <w:tab w:val="center" w:pos="4252"/>
          <w:tab w:val="right" w:pos="8504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shd w:val="clear" w:color="auto" w:fill="FFFFFF"/>
        </w:rPr>
        <w:t xml:space="preserve">EM ANEXO, conforme descrições e quantidade abaixo: </w:t>
      </w:r>
    </w:p>
    <w:p w:rsidR="006B3FD6" w:rsidRDefault="006B3FD6">
      <w:pPr>
        <w:keepNext/>
        <w:widowControl/>
        <w:tabs>
          <w:tab w:val="center" w:pos="4252"/>
          <w:tab w:val="right" w:pos="8504"/>
        </w:tabs>
        <w:jc w:val="both"/>
        <w:rPr>
          <w:rFonts w:ascii="Times New Roman" w:eastAsia="Times New Roman" w:hAnsi="Times New Roman" w:cs="Times New Roman"/>
          <w:b/>
          <w:color w:val="FF0000"/>
          <w:sz w:val="22"/>
          <w:szCs w:val="22"/>
          <w:highlight w:val="white"/>
        </w:rPr>
      </w:pPr>
    </w:p>
    <w:tbl>
      <w:tblPr>
        <w:tblStyle w:val="TableNormal"/>
        <w:tblW w:w="7900" w:type="dxa"/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684"/>
        <w:gridCol w:w="1417"/>
        <w:gridCol w:w="850"/>
        <w:gridCol w:w="2610"/>
        <w:gridCol w:w="1139"/>
        <w:gridCol w:w="1200"/>
      </w:tblGrid>
      <w:tr w:rsidR="007E5EDE">
        <w:trPr>
          <w:jc w:val="center"/>
        </w:trPr>
        <w:tc>
          <w:tcPr>
            <w:tcW w:w="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Quantidade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Unid.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Preço Médio</w:t>
            </w:r>
            <w:r>
              <w:rPr>
                <w:b/>
                <w:sz w:val="22"/>
                <w:szCs w:val="22"/>
              </w:rPr>
              <w:t xml:space="preserve"> Unit.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Preço Total</w:t>
            </w:r>
          </w:p>
        </w:tc>
      </w:tr>
      <w:tr w:rsidR="007E5EDE">
        <w:trPr>
          <w:jc w:val="center"/>
        </w:trPr>
        <w:tc>
          <w:tcPr>
            <w:tcW w:w="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center"/>
            </w:pPr>
            <w:r>
              <w:rPr>
                <w:sz w:val="22"/>
                <w:szCs w:val="22"/>
              </w:rPr>
              <w:t>un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spacing w:line="276" w:lineRule="auto"/>
              <w:jc w:val="both"/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>Contêiner Marítimo tipo Dry 40” pés</w:t>
            </w:r>
          </w:p>
        </w:tc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right"/>
            </w:pPr>
            <w:r>
              <w:rPr>
                <w:sz w:val="22"/>
                <w:szCs w:val="22"/>
              </w:rPr>
              <w:t xml:space="preserve">29.700,00 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jc w:val="right"/>
            </w:pPr>
            <w:r>
              <w:rPr>
                <w:sz w:val="22"/>
                <w:szCs w:val="22"/>
              </w:rPr>
              <w:t>29.700,00</w:t>
            </w:r>
          </w:p>
          <w:p w:rsidR="007E5EDE" w:rsidRDefault="007E5EDE">
            <w:pPr>
              <w:jc w:val="right"/>
              <w:rPr>
                <w:sz w:val="22"/>
                <w:szCs w:val="22"/>
              </w:rPr>
            </w:pPr>
          </w:p>
        </w:tc>
      </w:tr>
      <w:tr w:rsidR="007E5EDE">
        <w:trPr>
          <w:jc w:val="center"/>
        </w:trPr>
        <w:tc>
          <w:tcPr>
            <w:tcW w:w="669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1B5BF7">
            <w:pPr>
              <w:pStyle w:val="Ttulo1"/>
              <w:numPr>
                <w:ilvl w:val="0"/>
                <w:numId w:val="1"/>
              </w:num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5EDE" w:rsidRDefault="007E5EDE">
            <w:pPr>
              <w:jc w:val="right"/>
              <w:rPr>
                <w:sz w:val="22"/>
                <w:szCs w:val="22"/>
              </w:rPr>
            </w:pPr>
          </w:p>
          <w:p w:rsidR="007E5EDE" w:rsidRDefault="001B5BF7">
            <w:pPr>
              <w:jc w:val="right"/>
            </w:pPr>
            <w:r>
              <w:rPr>
                <w:b/>
                <w:bCs/>
                <w:sz w:val="22"/>
                <w:szCs w:val="22"/>
              </w:rPr>
              <w:t xml:space="preserve">29.700,00 </w:t>
            </w:r>
          </w:p>
        </w:tc>
      </w:tr>
    </w:tbl>
    <w:p w:rsidR="007E5EDE" w:rsidRDefault="007E5EDE">
      <w:pPr>
        <w:keepNext/>
        <w:widowControl/>
        <w:tabs>
          <w:tab w:val="center" w:pos="4252"/>
          <w:tab w:val="right" w:pos="8504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</w:pPr>
    </w:p>
    <w:p w:rsidR="007E5EDE" w:rsidRDefault="007E5EDE">
      <w:pPr>
        <w:keepNext/>
        <w:widowControl/>
        <w:tabs>
          <w:tab w:val="center" w:pos="4252"/>
          <w:tab w:val="right" w:pos="8504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</w:pPr>
    </w:p>
    <w:p w:rsidR="007E5EDE" w:rsidRDefault="001B5BF7">
      <w:pPr>
        <w:keepNext/>
        <w:widowControl/>
        <w:tabs>
          <w:tab w:val="center" w:pos="4252"/>
          <w:tab w:val="right" w:pos="8504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  <w:t>2. JUSTIFICATIVA DA LICITAÇÃO:</w:t>
      </w:r>
    </w:p>
    <w:p w:rsidR="007E5EDE" w:rsidRDefault="007E5EDE">
      <w:pPr>
        <w:keepNext/>
        <w:widowControl/>
        <w:tabs>
          <w:tab w:val="center" w:pos="4252"/>
          <w:tab w:val="right" w:pos="8504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</w:pPr>
    </w:p>
    <w:p w:rsidR="007E5EDE" w:rsidRDefault="001B5BF7">
      <w:pPr>
        <w:jc w:val="both"/>
      </w:pPr>
      <w:r>
        <w:rPr>
          <w:sz w:val="22"/>
          <w:szCs w:val="22"/>
        </w:rPr>
        <w:t xml:space="preserve">2.1 - </w:t>
      </w:r>
      <w:r>
        <w:t xml:space="preserve">O CBMSC necessita adquirir o referido contêiner, de modo a compor com outros </w:t>
      </w:r>
      <w:proofErr w:type="gramStart"/>
      <w:r>
        <w:t>materiais</w:t>
      </w:r>
      <w:proofErr w:type="gramEnd"/>
      <w:r>
        <w:t xml:space="preserve">, para a construção de </w:t>
      </w:r>
      <w:r>
        <w:t>um local de treinamento de combate a incêndio em local confinado, a ser executado no CRDU – Centro de Referência em Desastres Urbanos – local esse em que bombeiros da região realizam treinamentos de rotina com o intuito de aprimorarem suas técnicas e conse</w:t>
      </w:r>
      <w:r>
        <w:t>quentemente ofertarem um serviço de excelência a população regional.</w:t>
      </w:r>
    </w:p>
    <w:p w:rsidR="007E5EDE" w:rsidRDefault="007E5EDE">
      <w:pPr>
        <w:jc w:val="both"/>
        <w:rPr>
          <w:sz w:val="22"/>
          <w:szCs w:val="22"/>
        </w:rPr>
      </w:pPr>
    </w:p>
    <w:p w:rsidR="007E5EDE" w:rsidRDefault="001B5BF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PRAZO DE ENTREGA/EXECUÇÃO</w:t>
      </w:r>
    </w:p>
    <w:p w:rsidR="007E5EDE" w:rsidRDefault="007E5EDE">
      <w:pPr>
        <w:jc w:val="both"/>
        <w:rPr>
          <w:b/>
          <w:sz w:val="22"/>
          <w:szCs w:val="22"/>
        </w:rPr>
      </w:pPr>
    </w:p>
    <w:p w:rsidR="007E5EDE" w:rsidRDefault="001B5BF7">
      <w:pPr>
        <w:ind w:hanging="2"/>
        <w:jc w:val="both"/>
      </w:pPr>
      <w:r>
        <w:t>3.1 - O fornecedor obriga-se a entregar os materiais em que foi declarado vencedor, no prazo máximo de 30 (trinta) dias, contados a partir do recebimento da</w:t>
      </w:r>
      <w:r>
        <w:t xml:space="preserve"> Autorização de Fornecimento</w:t>
      </w:r>
      <w:r>
        <w:t xml:space="preserve">, no Endereço: Centro de Referência em Desastres Urbanos – CRDU do Corpo de Bombeiros Militar de Santa Catarina, localizado na Rodovia SC-480, próximo ao CTG Espelho da Tradição, em Xanxerê-SC, CEP: 89820-000,  nas coordenadas: </w:t>
      </w:r>
      <w:r>
        <w:t>26°50’21,9”S, 52°24’46,8”W. Horário para entrega: A combinar com o Comandante da OBM de Xaxim.</w:t>
      </w:r>
    </w:p>
    <w:p w:rsidR="007E5EDE" w:rsidRDefault="007E5EDE">
      <w:pPr>
        <w:jc w:val="both"/>
        <w:rPr>
          <w:sz w:val="22"/>
          <w:szCs w:val="22"/>
        </w:rPr>
      </w:pPr>
    </w:p>
    <w:p w:rsidR="007E5EDE" w:rsidRDefault="001B5BF7">
      <w:pPr>
        <w:jc w:val="both"/>
        <w:rPr>
          <w:sz w:val="22"/>
          <w:szCs w:val="22"/>
        </w:rPr>
      </w:pPr>
      <w:r>
        <w:t>3.1.1 - Os bens serão recebidos provisoriamente no prazo de 20 (vinte) dias, pelo responsável ao acompanhamento e fiscalização do contrato, para efeito de poste</w:t>
      </w:r>
      <w:r>
        <w:t xml:space="preserve">rior verificação de sua conformidade com as especificações constantes neste Termo de Referência e na proposta. </w:t>
      </w:r>
    </w:p>
    <w:p w:rsidR="007E5EDE" w:rsidRDefault="007E5EDE">
      <w:pPr>
        <w:jc w:val="both"/>
      </w:pPr>
    </w:p>
    <w:p w:rsidR="007E5EDE" w:rsidRDefault="001B5BF7">
      <w:pPr>
        <w:jc w:val="both"/>
        <w:rPr>
          <w:sz w:val="22"/>
          <w:szCs w:val="22"/>
        </w:rPr>
      </w:pPr>
      <w:r>
        <w:t>3.1.1.1 - Os bens poderão ser rejeitados, no todo ou em parte, quando em desacordo com as especificações constantes neste Termo de Referência e</w:t>
      </w:r>
      <w:r>
        <w:t xml:space="preserve"> na proposta, devendo ser substituídos no prazo de 30 (trinta) dias, a contar da notificação da contratada, às suas custas, sem prejuízo da aplicação das penalidades.</w:t>
      </w:r>
    </w:p>
    <w:p w:rsidR="007E5EDE" w:rsidRDefault="007E5EDE">
      <w:pPr>
        <w:jc w:val="both"/>
      </w:pPr>
    </w:p>
    <w:p w:rsidR="007E5EDE" w:rsidRDefault="001B5BF7">
      <w:pPr>
        <w:jc w:val="both"/>
        <w:rPr>
          <w:sz w:val="22"/>
          <w:szCs w:val="22"/>
        </w:rPr>
      </w:pPr>
      <w:r>
        <w:t xml:space="preserve">3.2 - Os bens serão recebidos definitivamente no prazo de 10 (dez) dias, contados do </w:t>
      </w:r>
      <w:r>
        <w:lastRenderedPageBreak/>
        <w:t>rec</w:t>
      </w:r>
      <w:r>
        <w:t>ebimento provisório, após a verificação da qualidade e quantidade do material e consequente aceitação mediante termo circunstanciado.</w:t>
      </w:r>
    </w:p>
    <w:p w:rsidR="007E5EDE" w:rsidRDefault="007E5EDE">
      <w:pPr>
        <w:jc w:val="both"/>
      </w:pPr>
    </w:p>
    <w:p w:rsidR="007E5EDE" w:rsidRDefault="001B5BF7">
      <w:pPr>
        <w:jc w:val="both"/>
        <w:rPr>
          <w:sz w:val="22"/>
          <w:szCs w:val="22"/>
        </w:rPr>
      </w:pPr>
      <w:r>
        <w:t>3.2.1 -  Na hipótese de a verificação a que se refere o subitem anterior não ser procedida dentro do prazo fixado, reputa</w:t>
      </w:r>
      <w:r>
        <w:t>r-se-á como realizada, consumando-se o recebimento definitivo no dia do esgotamento do prazo.</w:t>
      </w:r>
    </w:p>
    <w:p w:rsidR="007E5EDE" w:rsidRDefault="007E5EDE">
      <w:pPr>
        <w:jc w:val="both"/>
        <w:rPr>
          <w:sz w:val="22"/>
          <w:szCs w:val="22"/>
        </w:rPr>
      </w:pPr>
    </w:p>
    <w:p w:rsidR="007E5EDE" w:rsidRDefault="001B5BF7">
      <w:pPr>
        <w:jc w:val="both"/>
        <w:rPr>
          <w:sz w:val="22"/>
          <w:szCs w:val="22"/>
        </w:rPr>
      </w:pPr>
      <w:r>
        <w:t>3.3 - O recebimento provisório ou definitivo do objeto não exclui a responsabilidade da contratada pelos prejuízos resultantes da incorreta execução do contrato.</w:t>
      </w:r>
    </w:p>
    <w:p w:rsidR="007E5EDE" w:rsidRDefault="007E5EDE">
      <w:pPr>
        <w:jc w:val="both"/>
      </w:pPr>
    </w:p>
    <w:p w:rsidR="007E5EDE" w:rsidRDefault="001B5BF7">
      <w:pPr>
        <w:jc w:val="both"/>
        <w:rPr>
          <w:b/>
          <w:sz w:val="22"/>
          <w:szCs w:val="22"/>
        </w:rPr>
      </w:pPr>
      <w:r>
        <w:rPr>
          <w:b/>
        </w:rPr>
        <w:t>4 – DAS OBRIGAÇÕES</w:t>
      </w:r>
    </w:p>
    <w:p w:rsidR="007E5EDE" w:rsidRDefault="007E5EDE">
      <w:pPr>
        <w:jc w:val="both"/>
        <w:rPr>
          <w:b/>
        </w:rPr>
      </w:pPr>
    </w:p>
    <w:p w:rsidR="007E5EDE" w:rsidRDefault="001B5BF7">
      <w:pPr>
        <w:spacing w:before="120" w:after="120" w:line="276" w:lineRule="auto"/>
        <w:jc w:val="both"/>
        <w:rPr>
          <w:sz w:val="22"/>
          <w:szCs w:val="22"/>
          <w:u w:val="single"/>
        </w:rPr>
      </w:pPr>
      <w:r>
        <w:rPr>
          <w:u w:val="single"/>
        </w:rPr>
        <w:t>4.1 - São obrigações da Contratante: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  <w:u w:val="single"/>
        </w:rPr>
      </w:pPr>
      <w:r>
        <w:t xml:space="preserve">4.1.1 - Apresentar a Autorização de Fornecimento, especificando o item, a quantidade e o local de entrega; </w:t>
      </w:r>
      <w:proofErr w:type="gramStart"/>
      <w:r>
        <w:t>Efetuar</w:t>
      </w:r>
      <w:proofErr w:type="gramEnd"/>
      <w:r>
        <w:t xml:space="preserve"> o pagamento conforme definido no Edital, mediante apresentação</w:t>
      </w:r>
      <w:r>
        <w:t xml:space="preserve"> da Nota Fiscal, des</w:t>
      </w:r>
      <w:r>
        <w:t>de que, atendidas as demais exigências estabelecidas neste Edital; Fiscalizar a entrega.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4.1.1 - Receber o objeto no prazo e condições estabelecidas no Edital e seus anexos;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4.1.2 - Verificar minuciosamente, no prazo fixado, a conformidade dos bens recebid</w:t>
      </w:r>
      <w:r>
        <w:t>os provisoriamente com as especificações constantes do Edital e da proposta, para fins de aceitação e recebimento definitivo;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4.1.3 - Comunicar à Contratada, por escrito, sobre imperfeições, falhas ou irregularidades verificadas no objeto fornecido, para q</w:t>
      </w:r>
      <w:r>
        <w:t>ue seja substituído, reparado ou corrigido;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4.1.4 - Acompanhar e fiscalizar o cumprimento das obrigações da Contratada, através de comissão/servidor especialmente designado;</w:t>
      </w:r>
    </w:p>
    <w:p w:rsidR="007E5EDE" w:rsidRDefault="001B5BF7">
      <w:pPr>
        <w:spacing w:before="120" w:after="120" w:line="276" w:lineRule="auto"/>
        <w:jc w:val="both"/>
      </w:pPr>
      <w:r>
        <w:t>4.1.5 - Efetuar o pagamento à Contratada</w:t>
      </w:r>
      <w:r>
        <w:rPr>
          <w:b/>
        </w:rPr>
        <w:t xml:space="preserve"> </w:t>
      </w:r>
      <w:r>
        <w:t>no valor correspondente ao fornecimento d</w:t>
      </w:r>
      <w:r>
        <w:t>o objeto, no prazo e forma estabelecidos no Edital e seus anexos;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4.1.6 - A Administração não responderá por quaisquer compromissos assumidos pela Contratada com terceiros, ainda que vinculados à execução do presente Termo de Contrato, bem como por qualque</w:t>
      </w:r>
      <w:r>
        <w:t>r dano causado a terceiros em decorrência de ato da Contratada, de seus empregados, prepostos ou subordinados.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4.1.7 - A Administração realizará pesquisa de preços periodicamente, em prazo não superior a 180 (cento e oitenta) dias, a fim de verificar a van</w:t>
      </w:r>
      <w:r>
        <w:t>tajosidade dos preços registrados em Ata.</w:t>
      </w:r>
    </w:p>
    <w:p w:rsidR="007E5EDE" w:rsidRDefault="001B5BF7">
      <w:pPr>
        <w:spacing w:after="120" w:line="276" w:lineRule="auto"/>
        <w:ind w:right="-15"/>
        <w:jc w:val="both"/>
        <w:rPr>
          <w:sz w:val="22"/>
          <w:szCs w:val="22"/>
          <w:u w:val="single"/>
        </w:rPr>
      </w:pPr>
      <w:r>
        <w:rPr>
          <w:u w:val="single"/>
        </w:rPr>
        <w:t>4.2 – São obrigações da contratada: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 xml:space="preserve">4.2.1 - Responsabilizar-se-á pela qualidade dos materiais e equipamentos entregues; </w:t>
      </w:r>
      <w:proofErr w:type="gramStart"/>
      <w:r>
        <w:t>Manter</w:t>
      </w:r>
      <w:proofErr w:type="gramEnd"/>
      <w:r>
        <w:t xml:space="preserve"> conforme orie</w:t>
      </w:r>
      <w:r>
        <w:t>ntação da Licitante, o controle de fornecimento; Pela observação nos prazo</w:t>
      </w:r>
      <w:r>
        <w:t>s estabelecidos neste edital, para entrega e validade da proposta; Fornecer as devidas Notas Fiscais, nos termos da Lei.</w:t>
      </w:r>
    </w:p>
    <w:p w:rsidR="007E5EDE" w:rsidRDefault="001B5BF7">
      <w:pPr>
        <w:spacing w:before="120" w:after="120" w:line="276" w:lineRule="auto"/>
        <w:jc w:val="both"/>
      </w:pPr>
      <w:r>
        <w:lastRenderedPageBreak/>
        <w:t xml:space="preserve">4.2.1 - Efetuar a entrega do objeto em perfeitas condições, conforme especificações, prazo e local constantes no Edital e seus anexos, acompanhado da respectiva nota fiscal, na qual constarão as indicações referentes a: </w:t>
      </w:r>
      <w:r>
        <w:rPr>
          <w:i/>
        </w:rPr>
        <w:t>marca, fabricante, modelo, procedênc</w:t>
      </w:r>
      <w:r>
        <w:rPr>
          <w:i/>
        </w:rPr>
        <w:t>ia e prazo de garantia ou validade;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4.2.2 - Responsabilizar-se pelos vícios e danos decorrentes do objeto, de acordo com os artigos 12, 13 e 17 a 27, do Código de Defesa do Consumidor (Lei nº 8.078, de 1990);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</w:rPr>
      </w:pPr>
      <w:r>
        <w:t>4.2.3 - Substituir, reparar ou corrigir, às sua</w:t>
      </w:r>
      <w:r>
        <w:t>s expensas, no prazo fixado neste Termo de Referência, o objeto com avarias ou defeitos;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  <w:highlight w:val="white"/>
        </w:rPr>
      </w:pPr>
      <w:r>
        <w:rPr>
          <w:highlight w:val="white"/>
        </w:rPr>
        <w:t>4.2.4 - Comunicar à Contratante, no prazo máximo de 24 (vinte e quatro) horas que antecede a data da entrega, os motivos que impossibilitem o cumprimento do prazo prev</w:t>
      </w:r>
      <w:r>
        <w:rPr>
          <w:highlight w:val="white"/>
        </w:rPr>
        <w:t>isto, com a devida comprovação;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  <w:highlight w:val="white"/>
        </w:rPr>
      </w:pPr>
      <w:r>
        <w:rPr>
          <w:highlight w:val="white"/>
        </w:rPr>
        <w:t>4.2.5 - Manter, durante toda a execução do contrato, em compatibilidade com as obrigações assumidas, todas as condições de habilitação e qualificação exigidas na licitação;</w:t>
      </w:r>
    </w:p>
    <w:p w:rsidR="007E5EDE" w:rsidRDefault="007E5EDE">
      <w:pPr>
        <w:keepNext/>
        <w:widowControl/>
        <w:spacing w:line="276" w:lineRule="auto"/>
        <w:jc w:val="both"/>
        <w:rPr>
          <w:rFonts w:eastAsia="Times New Roman" w:cs="Times New Roman"/>
          <w:highlight w:val="white"/>
        </w:rPr>
      </w:pPr>
    </w:p>
    <w:p w:rsidR="007E5EDE" w:rsidRDefault="001B5BF7">
      <w:pPr>
        <w:keepNext/>
        <w:widowControl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eastAsia="Times New Roman" w:cs="Times New Roman"/>
          <w:highlight w:val="white"/>
        </w:rPr>
        <w:t xml:space="preserve">4.2.7.7. Recolher os impostos devidos, no que diz respeito ao objeto da presente Ata, em seu órgão competente. </w:t>
      </w:r>
    </w:p>
    <w:p w:rsidR="007E5EDE" w:rsidRDefault="007E5EDE">
      <w:pPr>
        <w:spacing w:after="120" w:line="276" w:lineRule="auto"/>
        <w:ind w:right="-15"/>
        <w:jc w:val="both"/>
        <w:rPr>
          <w:highlight w:val="white"/>
          <w:u w:val="single"/>
        </w:rPr>
      </w:pPr>
    </w:p>
    <w:p w:rsidR="007E5EDE" w:rsidRDefault="001B5BF7">
      <w:pPr>
        <w:spacing w:after="120" w:line="276" w:lineRule="auto"/>
        <w:ind w:right="-15"/>
        <w:jc w:val="both"/>
        <w:rPr>
          <w:highlight w:val="white"/>
        </w:rPr>
      </w:pPr>
      <w:r>
        <w:rPr>
          <w:b/>
          <w:highlight w:val="white"/>
        </w:rPr>
        <w:t>5 - ALTERAÇÃO SUBJETIVA</w:t>
      </w:r>
    </w:p>
    <w:p w:rsidR="007E5EDE" w:rsidRDefault="001B5BF7">
      <w:pPr>
        <w:spacing w:before="120" w:after="120" w:line="276" w:lineRule="auto"/>
        <w:jc w:val="both"/>
        <w:rPr>
          <w:sz w:val="22"/>
          <w:szCs w:val="22"/>
          <w:highlight w:val="white"/>
        </w:rPr>
      </w:pPr>
      <w:r>
        <w:rPr>
          <w:highlight w:val="white"/>
        </w:rPr>
        <w:t>5.1 - É admissível a fusão, cisão ou incorporação da contratada com/em outra pessoa jurídica, desde que sejam observado</w:t>
      </w:r>
      <w:r>
        <w:rPr>
          <w:highlight w:val="white"/>
        </w:rPr>
        <w:t>s pela nova pessoa jurídica todos os requisitos de habilitação exigidos na licitação original; sejam mantidas as demais cláusulas e condições do contrato; não haja prejuízo à execução do objeto pactuado e haja a anuência expressa da Administração à continu</w:t>
      </w:r>
      <w:r>
        <w:rPr>
          <w:highlight w:val="white"/>
        </w:rPr>
        <w:t>idade do contrato.</w:t>
      </w:r>
    </w:p>
    <w:p w:rsidR="007E5EDE" w:rsidRDefault="007E5EDE">
      <w:pPr>
        <w:jc w:val="both"/>
        <w:rPr>
          <w:b/>
          <w:highlight w:val="white"/>
        </w:rPr>
      </w:pPr>
    </w:p>
    <w:p w:rsidR="007E5EDE" w:rsidRDefault="001B5BF7">
      <w:pPr>
        <w:jc w:val="both"/>
        <w:rPr>
          <w:b/>
          <w:sz w:val="22"/>
          <w:szCs w:val="22"/>
          <w:highlight w:val="white"/>
        </w:rPr>
      </w:pPr>
      <w:r>
        <w:rPr>
          <w:b/>
          <w:highlight w:val="white"/>
        </w:rPr>
        <w:t>6. PROPOSTA</w:t>
      </w:r>
    </w:p>
    <w:p w:rsidR="007E5EDE" w:rsidRDefault="007E5EDE">
      <w:pPr>
        <w:jc w:val="both"/>
        <w:rPr>
          <w:b/>
          <w:highlight w:val="white"/>
        </w:rPr>
      </w:pPr>
    </w:p>
    <w:p w:rsidR="007E5EDE" w:rsidRDefault="001B5BF7">
      <w:pPr>
        <w:keepNext/>
        <w:widowControl/>
        <w:jc w:val="both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eastAsia="Times New Roman" w:cs="Times New Roman"/>
          <w:highlight w:val="white"/>
        </w:rPr>
        <w:t>6.1 - Serão desclassificadas as propostas que descumprirem o estabelecido no edital, bem como com valores acima do valor máximo previsto.</w:t>
      </w:r>
    </w:p>
    <w:p w:rsidR="007E5EDE" w:rsidRDefault="007E5EDE">
      <w:pPr>
        <w:jc w:val="both"/>
        <w:rPr>
          <w:rFonts w:eastAsia="Times New Roman" w:cs="Times New Roman"/>
        </w:rPr>
      </w:pPr>
    </w:p>
    <w:p w:rsidR="007E5EDE" w:rsidRDefault="007E5EDE">
      <w:pPr>
        <w:jc w:val="both"/>
      </w:pPr>
    </w:p>
    <w:p w:rsidR="007E5EDE" w:rsidRDefault="001B5BF7">
      <w:pPr>
        <w:jc w:val="both"/>
        <w:rPr>
          <w:b/>
          <w:sz w:val="22"/>
          <w:szCs w:val="22"/>
        </w:rPr>
      </w:pPr>
      <w:r>
        <w:rPr>
          <w:b/>
        </w:rPr>
        <w:t>7. DAS CONDIÇÕES E PRAZO DE PAGAMENTO</w:t>
      </w:r>
    </w:p>
    <w:p w:rsidR="007E5EDE" w:rsidRDefault="007E5EDE">
      <w:pPr>
        <w:jc w:val="both"/>
        <w:rPr>
          <w:b/>
        </w:rPr>
      </w:pPr>
    </w:p>
    <w:p w:rsidR="007E5EDE" w:rsidRDefault="001B5BF7">
      <w:pPr>
        <w:jc w:val="both"/>
      </w:pPr>
      <w:r>
        <w:t>7.1</w:t>
      </w:r>
      <w:r>
        <w:rPr>
          <w:b/>
        </w:rPr>
        <w:t xml:space="preserve"> - </w:t>
      </w:r>
      <w:r>
        <w:t>A nota fiscal será encaminhada para pa</w:t>
      </w:r>
      <w:r>
        <w:t>gamento somente após a aprovação/atesto dos serviços pelo Fiscal do Contrato ou pelo Chefe do B-4 da 3ªCompanhia de Bombeiros Militar de Xaxim-SC.</w:t>
      </w:r>
    </w:p>
    <w:p w:rsidR="007E5EDE" w:rsidRDefault="001B5BF7">
      <w:pPr>
        <w:jc w:val="both"/>
      </w:pPr>
      <w:r>
        <w:t>7.2 - O pagamento será efetuado conforme o Decreto vigente de pagamentos do Município de Cordilheira Alta, di</w:t>
      </w:r>
      <w:r>
        <w:t>sposto no Site da Prefeitura Municipal de Cordilheira Alta, mediante apresentação da Nota Fiscal, devidamente certificada pelo órgão competente, recebedor do objeto licitado.</w:t>
      </w:r>
    </w:p>
    <w:p w:rsidR="007E5EDE" w:rsidRDefault="007E5EDE">
      <w:pPr>
        <w:jc w:val="both"/>
      </w:pPr>
    </w:p>
    <w:p w:rsidR="007E5EDE" w:rsidRDefault="007E5EDE">
      <w:pPr>
        <w:jc w:val="both"/>
        <w:rPr>
          <w:b/>
        </w:rPr>
      </w:pPr>
    </w:p>
    <w:p w:rsidR="007E5EDE" w:rsidRDefault="001B5BF7">
      <w:pPr>
        <w:pStyle w:val="Ttulo5"/>
        <w:spacing w:line="240" w:lineRule="auto"/>
        <w:ind w:left="0" w:firstLine="0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A"/>
          <w:sz w:val="24"/>
          <w:szCs w:val="24"/>
        </w:rPr>
        <w:t>8. CONTROLE E FISCALIZAÇÃO</w:t>
      </w:r>
    </w:p>
    <w:p w:rsidR="007E5EDE" w:rsidRDefault="007E5EDE">
      <w:pPr>
        <w:rPr>
          <w:rFonts w:eastAsia="Times New Roman" w:cs="Times New Roman"/>
          <w:b/>
        </w:rPr>
      </w:pPr>
    </w:p>
    <w:p w:rsidR="007E5EDE" w:rsidRDefault="001B5BF7">
      <w:pPr>
        <w:spacing w:before="120" w:after="120" w:line="276" w:lineRule="auto"/>
        <w:jc w:val="both"/>
      </w:pPr>
      <w:r>
        <w:t xml:space="preserve">8.1 - Nos termos do art. 67 Lei nº 8.666, de 1993, </w:t>
      </w:r>
      <w:r>
        <w:t>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7E5EDE" w:rsidRDefault="001B5BF7">
      <w:pPr>
        <w:jc w:val="both"/>
      </w:pPr>
      <w:r>
        <w:t xml:space="preserve">8.1.1 - </w:t>
      </w:r>
      <w:bookmarkStart w:id="0" w:name="_GoBack"/>
      <w:r>
        <w:t>A exec</w:t>
      </w:r>
      <w:r>
        <w:t>ução do contrato será acompanhada e fiscalizada pelos servidores: Capitão BM Mtcl. 927094-9 Rangel Kehl e Cabo BM Mtcl. 927710-2 Geferson Edimar Bertoldi que atuarão como representantes institucionais, nos termos do artigo 67 da Lei 8666/93</w:t>
      </w:r>
      <w:bookmarkEnd w:id="0"/>
      <w:r>
        <w:t>.</w:t>
      </w:r>
    </w:p>
    <w:p w:rsidR="007E5EDE" w:rsidRDefault="001B5BF7">
      <w:pPr>
        <w:spacing w:before="120" w:after="120" w:line="276" w:lineRule="auto"/>
        <w:jc w:val="both"/>
      </w:pPr>
      <w:r>
        <w:t>8.2 - A fiscal</w:t>
      </w:r>
      <w:r>
        <w:t>ização de que trata este item não exclui nem reduz a responsabilidade da Contratada, inclusive perante terceiros, por qualquer irregularidade, ainda que resultante de imperfeições técnicas ou vícios redibitórios, e, na ocorrência desta, não implica em co-r</w:t>
      </w:r>
      <w:r>
        <w:t>esponsabilidade da Administração ou de seus agentes e prepostos, de conformidade com o art. 70 da Lei nº 8.666, de 1993.</w:t>
      </w:r>
    </w:p>
    <w:p w:rsidR="007E5EDE" w:rsidRDefault="001B5BF7">
      <w:pPr>
        <w:spacing w:before="120" w:after="120" w:line="276" w:lineRule="auto"/>
        <w:jc w:val="both"/>
      </w:pPr>
      <w:r>
        <w:t>8.3 - O representante da Administração anotará em registro próprio todas as ocorrências relacionadas com a execução do contrato, indica</w:t>
      </w:r>
      <w:r>
        <w:t>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7E5EDE" w:rsidRDefault="007E5EDE">
      <w:pPr>
        <w:keepNext/>
        <w:widowControl/>
        <w:jc w:val="center"/>
        <w:rPr>
          <w:rFonts w:eastAsia="Times New Roman" w:cs="Times New Roman"/>
          <w:color w:val="000000"/>
          <w:shd w:val="clear" w:color="auto" w:fill="FFFFFF"/>
        </w:rPr>
      </w:pPr>
    </w:p>
    <w:p w:rsidR="007E5EDE" w:rsidRDefault="007E5EDE">
      <w:pPr>
        <w:keepNext/>
        <w:widowControl/>
        <w:jc w:val="center"/>
        <w:rPr>
          <w:rFonts w:eastAsia="Times New Roman" w:cs="Times New Roman"/>
          <w:color w:val="000000"/>
          <w:shd w:val="clear" w:color="auto" w:fill="FFFFFF"/>
        </w:rPr>
      </w:pPr>
    </w:p>
    <w:p w:rsidR="007E5EDE" w:rsidRDefault="001B5BF7">
      <w:pPr>
        <w:spacing w:after="100" w:line="276" w:lineRule="auto"/>
        <w:ind w:hanging="2"/>
        <w:jc w:val="both"/>
        <w:rPr>
          <w:highlight w:val="white"/>
        </w:rPr>
      </w:pPr>
      <w:r>
        <w:rPr>
          <w:rFonts w:eastAsia="Times" w:cs="Times"/>
          <w:highlight w:val="white"/>
        </w:rPr>
        <w:t>Cordi</w:t>
      </w:r>
      <w:r>
        <w:rPr>
          <w:rFonts w:eastAsia="Times" w:cs="Times"/>
          <w:highlight w:val="white"/>
        </w:rPr>
        <w:t xml:space="preserve">lheira Alta, </w:t>
      </w:r>
      <w:r>
        <w:rPr>
          <w:rFonts w:eastAsia="Times" w:cs="Times"/>
          <w:color w:val="000000"/>
          <w:highlight w:val="white"/>
        </w:rPr>
        <w:t>08</w:t>
      </w:r>
      <w:r>
        <w:rPr>
          <w:rFonts w:eastAsia="Times" w:cs="Times"/>
          <w:highlight w:val="white"/>
        </w:rPr>
        <w:t xml:space="preserve"> de </w:t>
      </w:r>
      <w:proofErr w:type="gramStart"/>
      <w:r>
        <w:rPr>
          <w:rFonts w:eastAsia="Times" w:cs="Times"/>
          <w:highlight w:val="white"/>
        </w:rPr>
        <w:t>Março</w:t>
      </w:r>
      <w:proofErr w:type="gramEnd"/>
      <w:r>
        <w:rPr>
          <w:rFonts w:eastAsia="Times" w:cs="Times"/>
          <w:highlight w:val="white"/>
        </w:rPr>
        <w:t xml:space="preserve"> de 2022.</w:t>
      </w:r>
    </w:p>
    <w:p w:rsidR="007E5EDE" w:rsidRDefault="007E5EDE">
      <w:pPr>
        <w:pStyle w:val="LO-normal"/>
        <w:sectPr w:rsidR="007E5EDE">
          <w:headerReference w:type="default" r:id="rId7"/>
          <w:footerReference w:type="default" r:id="rId8"/>
          <w:pgSz w:w="11906" w:h="16838"/>
          <w:pgMar w:top="1417" w:right="1701" w:bottom="1417" w:left="1701" w:header="708" w:footer="708" w:gutter="0"/>
          <w:pgNumType w:start="1"/>
          <w:cols w:space="720"/>
          <w:formProt w:val="0"/>
          <w:docGrid w:linePitch="240" w:charSpace="-6145"/>
        </w:sectPr>
      </w:pPr>
    </w:p>
    <w:p w:rsidR="007E5EDE" w:rsidRDefault="001B5BF7">
      <w:pPr>
        <w:ind w:hanging="2"/>
        <w:jc w:val="both"/>
      </w:pPr>
      <w:r>
        <w:t xml:space="preserve">                      </w:t>
      </w:r>
    </w:p>
    <w:p w:rsidR="007E5EDE" w:rsidRDefault="007E5EDE">
      <w:pPr>
        <w:ind w:hanging="2"/>
        <w:jc w:val="both"/>
      </w:pPr>
    </w:p>
    <w:p w:rsidR="007E5EDE" w:rsidRDefault="001B5BF7">
      <w:pPr>
        <w:ind w:left="-141" w:hanging="3600"/>
      </w:pPr>
      <w:r>
        <w:t xml:space="preserve">                                                                                                                                                                                              _________________________                 </w:t>
      </w:r>
      <w:r>
        <w:t xml:space="preserve">                 __________________________</w:t>
      </w:r>
    </w:p>
    <w:p w:rsidR="007E5EDE" w:rsidRDefault="001B5BF7">
      <w:pPr>
        <w:ind w:hanging="2"/>
      </w:pPr>
      <w:r>
        <w:t xml:space="preserve">Rangel Kehl - Capitão BM                                  </w:t>
      </w:r>
      <w:r>
        <w:rPr>
          <w:highlight w:val="white"/>
        </w:rPr>
        <w:t xml:space="preserve">                Clodoaldo Briancini </w:t>
      </w:r>
      <w:r>
        <w:t xml:space="preserve">                                                    Comandante da 3ª/14ºBBM</w:t>
      </w:r>
      <w:r>
        <w:tab/>
      </w:r>
      <w:r>
        <w:tab/>
      </w:r>
      <w:r>
        <w:tab/>
      </w:r>
      <w:r>
        <w:tab/>
        <w:t xml:space="preserve">           Prefeito Municipal</w:t>
      </w:r>
    </w:p>
    <w:p w:rsidR="007E5EDE" w:rsidRDefault="001B5BF7">
      <w:pPr>
        <w:ind w:hanging="2"/>
      </w:pPr>
      <w:r>
        <w:t xml:space="preserve">                                                                                                                                                       </w:t>
      </w:r>
    </w:p>
    <w:p w:rsidR="007E5EDE" w:rsidRDefault="007E5EDE">
      <w:pPr>
        <w:ind w:hanging="2"/>
        <w:jc w:val="both"/>
      </w:pPr>
    </w:p>
    <w:p w:rsidR="007E5EDE" w:rsidRDefault="007E5EDE">
      <w:pPr>
        <w:spacing w:line="276" w:lineRule="auto"/>
        <w:jc w:val="both"/>
      </w:pPr>
    </w:p>
    <w:p w:rsidR="007E5EDE" w:rsidRDefault="007E5EDE">
      <w:pPr>
        <w:spacing w:line="276" w:lineRule="auto"/>
        <w:jc w:val="both"/>
      </w:pPr>
    </w:p>
    <w:p w:rsidR="007E5EDE" w:rsidRDefault="001B5BF7">
      <w:pPr>
        <w:spacing w:line="276" w:lineRule="auto"/>
      </w:pPr>
      <w:r>
        <w:t xml:space="preserve">          ______________________                            </w:t>
      </w:r>
    </w:p>
    <w:p w:rsidR="007E5EDE" w:rsidRDefault="001B5BF7">
      <w:pPr>
        <w:spacing w:line="276" w:lineRule="auto"/>
        <w:rPr>
          <w:highlight w:val="white"/>
        </w:rPr>
      </w:pPr>
      <w:r>
        <w:t xml:space="preserve">   </w:t>
      </w:r>
      <w:r>
        <w:rPr>
          <w:highlight w:val="white"/>
        </w:rPr>
        <w:t xml:space="preserve">            Rudimar Marafon  </w:t>
      </w:r>
      <w:r>
        <w:rPr>
          <w:highlight w:val="white"/>
        </w:rPr>
        <w:tab/>
      </w:r>
      <w:r>
        <w:rPr>
          <w:highlight w:val="white"/>
        </w:rPr>
        <w:tab/>
        <w:t xml:space="preserve">      </w:t>
      </w:r>
      <w:r>
        <w:rPr>
          <w:highlight w:val="white"/>
        </w:rPr>
        <w:t xml:space="preserve">     </w:t>
      </w:r>
      <w:r>
        <w:rPr>
          <w:highlight w:val="white"/>
        </w:rPr>
        <w:tab/>
      </w:r>
    </w:p>
    <w:p w:rsidR="007E5EDE" w:rsidRDefault="001B5BF7">
      <w:pPr>
        <w:spacing w:line="276" w:lineRule="auto"/>
        <w:rPr>
          <w:highlight w:val="white"/>
        </w:rPr>
      </w:pPr>
      <w:r>
        <w:rPr>
          <w:highlight w:val="white"/>
        </w:rPr>
        <w:t xml:space="preserve"> Secretário de Administração, Fazenda e Planejamento</w:t>
      </w:r>
    </w:p>
    <w:p w:rsidR="007E5EDE" w:rsidRDefault="007E5EDE">
      <w:pPr>
        <w:ind w:hanging="2"/>
        <w:jc w:val="both"/>
        <w:rPr>
          <w:highlight w:val="yellow"/>
        </w:rPr>
      </w:pPr>
    </w:p>
    <w:p w:rsidR="007E5EDE" w:rsidRDefault="007E5EDE">
      <w:pPr>
        <w:keepNext/>
        <w:widowControl/>
        <w:rPr>
          <w:sz w:val="22"/>
          <w:szCs w:val="22"/>
        </w:rPr>
      </w:pPr>
    </w:p>
    <w:p w:rsidR="007E5EDE" w:rsidRDefault="007E5EDE">
      <w:pPr>
        <w:keepNext/>
        <w:widowControl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</w:pPr>
    </w:p>
    <w:p w:rsidR="007E5EDE" w:rsidRDefault="007E5EDE">
      <w:pPr>
        <w:keepNext/>
        <w:widowControl/>
        <w:ind w:left="-567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</w:p>
    <w:p w:rsidR="007E5EDE" w:rsidRDefault="007E5EDE">
      <w:pPr>
        <w:keepNext/>
        <w:widowControl/>
        <w:ind w:left="-567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</w:p>
    <w:p w:rsidR="007E5EDE" w:rsidRDefault="007E5EDE">
      <w:pPr>
        <w:keepNext/>
        <w:widowControl/>
        <w:ind w:left="-567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</w:p>
    <w:p w:rsidR="007E5EDE" w:rsidRDefault="007E5EDE">
      <w:pPr>
        <w:keepNext/>
        <w:widowControl/>
        <w:ind w:left="-567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</w:p>
    <w:p w:rsidR="007E5EDE" w:rsidRDefault="001B5BF7">
      <w:pPr>
        <w:spacing w:after="100"/>
        <w:jc w:val="center"/>
      </w:pPr>
      <w:r>
        <w:rPr>
          <w:b/>
        </w:rPr>
        <w:t>Anexo A</w:t>
      </w:r>
    </w:p>
    <w:p w:rsidR="007E5EDE" w:rsidRDefault="007E5EDE">
      <w:pPr>
        <w:spacing w:after="100"/>
        <w:jc w:val="both"/>
        <w:rPr>
          <w:b/>
        </w:rPr>
      </w:pPr>
    </w:p>
    <w:p w:rsidR="007E5EDE" w:rsidRDefault="001B5BF7">
      <w:pPr>
        <w:spacing w:after="100" w:line="276" w:lineRule="auto"/>
        <w:jc w:val="both"/>
        <w:rPr>
          <w:rFonts w:ascii="Times" w:eastAsia="Times" w:hAnsi="Times" w:cs="Times"/>
          <w:b/>
        </w:rPr>
      </w:pPr>
      <w:r>
        <w:rPr>
          <w:rFonts w:eastAsia="Times" w:cs="Times"/>
          <w:b/>
        </w:rPr>
        <w:t>ESPECIFICAÇÕES MÍNIMAS:</w:t>
      </w:r>
      <w:r>
        <w:rPr>
          <w:rFonts w:eastAsia="Times" w:cs="Times"/>
          <w:b/>
        </w:rPr>
        <w:tab/>
        <w:t xml:space="preserve"> </w:t>
      </w:r>
      <w:r>
        <w:rPr>
          <w:rFonts w:eastAsia="Times" w:cs="Times"/>
          <w:b/>
        </w:rPr>
        <w:tab/>
        <w:t xml:space="preserve"> </w:t>
      </w:r>
      <w:r>
        <w:rPr>
          <w:rFonts w:eastAsia="Times" w:cs="Times"/>
          <w:b/>
        </w:rPr>
        <w:tab/>
      </w:r>
    </w:p>
    <w:p w:rsidR="007E5EDE" w:rsidRDefault="001B5BF7">
      <w:pPr>
        <w:spacing w:after="100" w:line="276" w:lineRule="auto"/>
        <w:jc w:val="both"/>
      </w:pPr>
      <w:r>
        <w:rPr>
          <w:rFonts w:eastAsia="Times" w:cs="Times"/>
        </w:rPr>
        <w:t>As especificações mínimas, do produto a ser adquirido, se constituirão seguindo os seguintes critérios:</w:t>
      </w:r>
    </w:p>
    <w:p w:rsidR="007E5EDE" w:rsidRDefault="001B5BF7">
      <w:pPr>
        <w:jc w:val="both"/>
      </w:pPr>
      <w:r>
        <w:rPr>
          <w:b/>
        </w:rPr>
        <w:t>ITEM 01 – Contêiner Marítimo tipo Dry 40” Pés;</w:t>
      </w:r>
    </w:p>
    <w:p w:rsidR="007E5EDE" w:rsidRDefault="007E5EDE">
      <w:pPr>
        <w:jc w:val="both"/>
        <w:rPr>
          <w:b/>
        </w:rPr>
      </w:pPr>
    </w:p>
    <w:p w:rsidR="007E5EDE" w:rsidRDefault="001B5BF7">
      <w:pPr>
        <w:spacing w:after="240"/>
        <w:jc w:val="both"/>
        <w:rPr>
          <w:rFonts w:ascii="Arial" w:eastAsia="Arial" w:hAnsi="Arial" w:cs="Arial"/>
          <w:sz w:val="26"/>
          <w:szCs w:val="26"/>
        </w:rPr>
      </w:pPr>
      <w:r>
        <w:rPr>
          <w:rFonts w:eastAsia="Arial" w:cs="Arial"/>
        </w:rPr>
        <w:t>Especificação Técnica Do Objeto 1 Geral</w:t>
      </w:r>
    </w:p>
    <w:p w:rsidR="007E5EDE" w:rsidRDefault="001B5BF7">
      <w:pPr>
        <w:spacing w:after="240"/>
        <w:jc w:val="both"/>
      </w:pPr>
      <w:r>
        <w:rPr>
          <w:rFonts w:eastAsia="Arial" w:cs="Arial"/>
        </w:rPr>
        <w:t>1.1 Contêiner marítimo tipo Dry de 40 Pés, usado, com portas originais funcionais, todo fechado, podendo conter poucos amassados, em ótimo estado de conservação, sem ferrugem e infiltração que possam comprometer a i</w:t>
      </w:r>
      <w:r>
        <w:rPr>
          <w:rFonts w:eastAsia="Arial" w:cs="Arial"/>
        </w:rPr>
        <w:t>mpermeabilidade natural e durabilidade do material, com painéis (chapas) de aço, pintura total externa original em ótimo estado, ausência de conserto ou emendas nos painéis (chapas) de aço e estrutura do contêiner. Piso de compensado naval, em bom estado d</w:t>
      </w:r>
      <w:r>
        <w:rPr>
          <w:rFonts w:eastAsia="Arial" w:cs="Arial"/>
        </w:rPr>
        <w:t>e conservação, sem falhas, partes soltas ou faltantes. Medidas externas: 12.192 mm de comprimento, 2.438 mm de largura e 2.591 mm de altura. Frete CIF para entrega no Centro de Referência em Desastres Urbanos – CRDU do Corpo de Bombeiros Militar de Santa C</w:t>
      </w:r>
      <w:r>
        <w:rPr>
          <w:rFonts w:eastAsia="Arial" w:cs="Arial"/>
        </w:rPr>
        <w:t>atarina, localizado na Rodovia SC-480, próximo ao CTG Espelho da Tradição, em Xanxerê-SC, CEP: 89820-</w:t>
      </w:r>
      <w:proofErr w:type="gramStart"/>
      <w:r>
        <w:rPr>
          <w:rFonts w:eastAsia="Arial" w:cs="Arial"/>
        </w:rPr>
        <w:t>000,  nas</w:t>
      </w:r>
      <w:proofErr w:type="gramEnd"/>
      <w:r>
        <w:rPr>
          <w:rFonts w:eastAsia="Arial" w:cs="Arial"/>
        </w:rPr>
        <w:t xml:space="preserve"> coordenadas: 26°50’21,9”S, 52°24’46,8”W.</w:t>
      </w:r>
    </w:p>
    <w:p w:rsidR="007E5EDE" w:rsidRDefault="007E5EDE">
      <w:pPr>
        <w:spacing w:after="240"/>
        <w:jc w:val="both"/>
        <w:rPr>
          <w:rFonts w:eastAsia="Arial" w:cs="Arial"/>
        </w:rPr>
      </w:pPr>
    </w:p>
    <w:p w:rsidR="007E5EDE" w:rsidRDefault="007E5EDE">
      <w:pPr>
        <w:spacing w:after="100" w:line="276" w:lineRule="auto"/>
        <w:jc w:val="both"/>
      </w:pPr>
    </w:p>
    <w:p w:rsidR="007E5EDE" w:rsidRDefault="007E5EDE">
      <w:pPr>
        <w:spacing w:after="100" w:line="276" w:lineRule="auto"/>
        <w:jc w:val="both"/>
      </w:pPr>
    </w:p>
    <w:p w:rsidR="007E5EDE" w:rsidRDefault="007E5EDE">
      <w:pPr>
        <w:pStyle w:val="LO-normal"/>
        <w:sectPr w:rsidR="007E5EDE">
          <w:type w:val="continuous"/>
          <w:pgSz w:w="11906" w:h="16838"/>
          <w:pgMar w:top="1417" w:right="1701" w:bottom="1417" w:left="1701" w:header="708" w:footer="708" w:gutter="0"/>
          <w:cols w:space="720"/>
          <w:formProt w:val="0"/>
          <w:docGrid w:linePitch="240" w:charSpace="-6145"/>
        </w:sectPr>
      </w:pPr>
    </w:p>
    <w:p w:rsidR="001B5BF7" w:rsidRDefault="001B5BF7"/>
    <w:sectPr w:rsidR="001B5BF7">
      <w:type w:val="continuous"/>
      <w:pgSz w:w="11906" w:h="16838"/>
      <w:pgMar w:top="1417" w:right="1701" w:bottom="1417" w:left="1701" w:header="708" w:footer="70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BF7" w:rsidRDefault="001B5BF7">
      <w:r>
        <w:separator/>
      </w:r>
    </w:p>
  </w:endnote>
  <w:endnote w:type="continuationSeparator" w:id="0">
    <w:p w:rsidR="001B5BF7" w:rsidRDefault="001B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1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DE" w:rsidRDefault="001B5BF7">
    <w:pPr>
      <w:rPr>
        <w:rFonts w:ascii="Bookman Old Style" w:eastAsia="Bookman Old Style" w:hAnsi="Bookman Old Style" w:cs="Bookman Old Style"/>
        <w:b/>
        <w:sz w:val="16"/>
        <w:szCs w:val="16"/>
      </w:rPr>
    </w:pPr>
    <w:r>
      <w:rPr>
        <w:rFonts w:ascii="Bookman Old Style" w:eastAsia="Bookman Old Style" w:hAnsi="Bookman Old Style" w:cs="Bookman Old Style"/>
        <w:b/>
        <w:sz w:val="16"/>
        <w:szCs w:val="16"/>
      </w:rPr>
      <w:t>RUA CELSO TOZZO, 27 CEP: 89.819-000 – FONE: (49) 3358-9100 – CORDILHEIRA ALTA – SC</w:t>
    </w:r>
  </w:p>
  <w:p w:rsidR="007E5EDE" w:rsidRDefault="001B5BF7">
    <w:pPr>
      <w:jc w:val="center"/>
      <w:rPr>
        <w:rFonts w:ascii="Bookman Old Style" w:eastAsia="Bookman Old Style" w:hAnsi="Bookman Old Style" w:cs="Bookman Old Style"/>
        <w:b/>
        <w:sz w:val="16"/>
        <w:szCs w:val="16"/>
      </w:rPr>
    </w:pPr>
    <w:r>
      <w:rPr>
        <w:rFonts w:ascii="Bookman Old Style" w:eastAsia="Bookman Old Style" w:hAnsi="Bookman Old Style" w:cs="Bookman Old Style"/>
        <w:b/>
        <w:sz w:val="16"/>
        <w:szCs w:val="16"/>
      </w:rPr>
      <w:t>www.pmcordi.sc.gov.br</w:t>
    </w:r>
  </w:p>
  <w:p w:rsidR="007E5EDE" w:rsidRDefault="007E5EDE">
    <w:pPr>
      <w:keepNext/>
      <w:widowControl/>
      <w:tabs>
        <w:tab w:val="center" w:pos="4252"/>
        <w:tab w:val="right" w:pos="8504"/>
      </w:tabs>
      <w:rPr>
        <w:rFonts w:ascii="Bookman Old Style" w:eastAsia="Bookman Old Style" w:hAnsi="Bookman Old Style" w:cs="Bookman Old Style"/>
        <w:b/>
        <w:color w:val="000000"/>
        <w:sz w:val="16"/>
        <w:szCs w:val="16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BF7" w:rsidRDefault="001B5BF7">
      <w:r>
        <w:separator/>
      </w:r>
    </w:p>
  </w:footnote>
  <w:footnote w:type="continuationSeparator" w:id="0">
    <w:p w:rsidR="001B5BF7" w:rsidRDefault="001B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DE" w:rsidRDefault="001B5BF7">
    <w:pPr>
      <w:keepNext/>
      <w:widowControl/>
      <w:tabs>
        <w:tab w:val="center" w:pos="4252"/>
        <w:tab w:val="right" w:pos="8504"/>
      </w:tabs>
      <w:rPr>
        <w:rFonts w:ascii="Times New Roman" w:eastAsia="Times New Roman" w:hAnsi="Times New Roman" w:cs="Times New Roman"/>
        <w:color w:val="000000"/>
        <w:highlight w:val="white"/>
      </w:rPr>
    </w:pPr>
    <w:r>
      <w:rPr>
        <w:noProof/>
        <w:lang w:eastAsia="pt-BR" w:bidi="ar-SA"/>
      </w:rPr>
      <w:drawing>
        <wp:inline distT="0" distB="0" distL="0" distR="0">
          <wp:extent cx="5581015" cy="952500"/>
          <wp:effectExtent l="0" t="0" r="0" b="0"/>
          <wp:docPr id="1" name="image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23" r="-6" b="-23"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1B7A"/>
    <w:multiLevelType w:val="multilevel"/>
    <w:tmpl w:val="9BBCE8F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77721281"/>
    <w:multiLevelType w:val="multilevel"/>
    <w:tmpl w:val="3CBC71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EDE"/>
    <w:rsid w:val="000233C4"/>
    <w:rsid w:val="001B5BF7"/>
    <w:rsid w:val="006B3FD6"/>
    <w:rsid w:val="007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099B1"/>
  <w15:docId w15:val="{DD54304B-2A6D-46A4-BC0E-AE12A1DE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A"/>
      <w:sz w:val="24"/>
    </w:rPr>
  </w:style>
  <w:style w:type="paragraph" w:styleId="Ttulo1">
    <w:name w:val="heading 1"/>
    <w:basedOn w:val="Ttulo"/>
    <w:next w:val="Normal"/>
    <w:qFormat/>
    <w:pPr>
      <w:widowControl w:val="0"/>
      <w:spacing w:before="280" w:after="280"/>
      <w:ind w:left="432" w:hanging="432"/>
      <w:outlineLvl w:val="0"/>
    </w:pPr>
    <w:rPr>
      <w:sz w:val="48"/>
      <w:szCs w:val="48"/>
    </w:rPr>
  </w:style>
  <w:style w:type="paragraph" w:styleId="Ttulo2">
    <w:name w:val="heading 2"/>
    <w:basedOn w:val="Ttulo"/>
    <w:next w:val="Normal"/>
    <w:qFormat/>
    <w:pPr>
      <w:widowControl w:val="0"/>
      <w:spacing w:before="280" w:after="280"/>
      <w:ind w:left="576" w:hanging="576"/>
      <w:outlineLvl w:val="1"/>
    </w:pPr>
    <w:rPr>
      <w:sz w:val="36"/>
      <w:szCs w:val="36"/>
    </w:rPr>
  </w:style>
  <w:style w:type="paragraph" w:styleId="Ttulo3">
    <w:name w:val="heading 3"/>
    <w:basedOn w:val="Ttulo"/>
    <w:next w:val="Normal"/>
    <w:qFormat/>
    <w:pPr>
      <w:widowControl w:val="0"/>
      <w:spacing w:before="240" w:after="60"/>
      <w:ind w:left="720" w:hanging="720"/>
      <w:jc w:val="both"/>
      <w:outlineLvl w:val="2"/>
    </w:pPr>
    <w:rPr>
      <w:rFonts w:ascii="Cambria" w:eastAsia="Cambria" w:hAnsi="Cambria" w:cs="Cambria"/>
      <w:sz w:val="26"/>
      <w:szCs w:val="26"/>
    </w:rPr>
  </w:style>
  <w:style w:type="paragraph" w:styleId="Ttulo4">
    <w:name w:val="heading 4"/>
    <w:basedOn w:val="Ttulo"/>
    <w:next w:val="Normal"/>
    <w:qFormat/>
    <w:pPr>
      <w:widowControl w:val="0"/>
      <w:spacing w:before="240" w:after="40"/>
      <w:outlineLvl w:val="3"/>
    </w:pPr>
    <w:rPr>
      <w:sz w:val="24"/>
      <w:szCs w:val="24"/>
    </w:rPr>
  </w:style>
  <w:style w:type="paragraph" w:styleId="Ttulo5">
    <w:name w:val="heading 5"/>
    <w:basedOn w:val="Ttulo"/>
    <w:next w:val="Normal"/>
    <w:qFormat/>
    <w:pPr>
      <w:widowControl w:val="0"/>
      <w:spacing w:before="200" w:after="0" w:line="276" w:lineRule="auto"/>
      <w:ind w:left="1008" w:hanging="1008"/>
      <w:outlineLvl w:val="4"/>
    </w:pPr>
    <w:rPr>
      <w:rFonts w:ascii="Cambria" w:eastAsia="Cambria" w:hAnsi="Cambria" w:cs="Cambria"/>
      <w:color w:val="243F60"/>
      <w:sz w:val="22"/>
      <w:szCs w:val="22"/>
    </w:rPr>
  </w:style>
  <w:style w:type="paragraph" w:styleId="Ttulo6">
    <w:name w:val="heading 6"/>
    <w:basedOn w:val="Ttulo"/>
    <w:next w:val="Normal"/>
    <w:qFormat/>
    <w:pPr>
      <w:widowControl w:val="0"/>
      <w:spacing w:before="200" w:after="0" w:line="276" w:lineRule="auto"/>
      <w:ind w:left="1152" w:hanging="1152"/>
      <w:outlineLvl w:val="5"/>
    </w:pPr>
    <w:rPr>
      <w:rFonts w:ascii="Cambria" w:eastAsia="Cambria" w:hAnsi="Cambria" w:cs="Cambria"/>
      <w:i/>
      <w:color w:val="243F60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  <w:rPr>
      <w:color w:val="00000A"/>
      <w:sz w:val="24"/>
    </w:rPr>
  </w:style>
  <w:style w:type="paragraph" w:styleId="Subttulo">
    <w:name w:val="Subtitle"/>
    <w:basedOn w:val="LO-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</w:style>
  <w:style w:type="paragraph" w:styleId="Rodap">
    <w:name w:val="footer"/>
    <w:basedOn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1559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Usuário do Windows</cp:lastModifiedBy>
  <cp:revision>15</cp:revision>
  <dcterms:created xsi:type="dcterms:W3CDTF">2022-03-21T17:12:00Z</dcterms:created>
  <dcterms:modified xsi:type="dcterms:W3CDTF">2022-03-21T18:23:00Z</dcterms:modified>
  <dc:language>pt-BR</dc:language>
</cp:coreProperties>
</file>