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E20" w:rsidRPr="008E68CC" w:rsidRDefault="00900D42">
      <w:pPr>
        <w:spacing w:line="259" w:lineRule="auto"/>
        <w:ind w:left="0" w:right="892" w:firstLine="0"/>
        <w:jc w:val="right"/>
        <w:rPr>
          <w:sz w:val="21"/>
          <w:szCs w:val="21"/>
        </w:rPr>
      </w:pPr>
      <w:r w:rsidRPr="008E68CC">
        <w:rPr>
          <w:rFonts w:ascii="Times New Roman" w:eastAsia="Times New Roman" w:hAnsi="Times New Roman" w:cs="Times New Roman"/>
          <w:sz w:val="21"/>
          <w:szCs w:val="21"/>
        </w:rPr>
        <w:t xml:space="preserve"> </w:t>
      </w:r>
    </w:p>
    <w:p w:rsidR="00E07221" w:rsidRPr="00701D59" w:rsidRDefault="00900D42">
      <w:pPr>
        <w:spacing w:line="259" w:lineRule="auto"/>
        <w:ind w:right="19"/>
        <w:jc w:val="center"/>
        <w:rPr>
          <w:b/>
        </w:rPr>
      </w:pPr>
      <w:r w:rsidRPr="00701D59">
        <w:rPr>
          <w:b/>
        </w:rPr>
        <w:t xml:space="preserve">PROCESSO ADMINISTRATIVO N° </w:t>
      </w:r>
      <w:r w:rsidR="00C065C6" w:rsidRPr="00701D59">
        <w:rPr>
          <w:b/>
        </w:rPr>
        <w:t>197</w:t>
      </w:r>
      <w:r w:rsidR="00E07221" w:rsidRPr="00701D59">
        <w:rPr>
          <w:b/>
        </w:rPr>
        <w:t>/2021</w:t>
      </w:r>
    </w:p>
    <w:p w:rsidR="001A4E20" w:rsidRPr="00701D59" w:rsidRDefault="00900D42">
      <w:pPr>
        <w:spacing w:line="259" w:lineRule="auto"/>
        <w:ind w:right="19"/>
        <w:jc w:val="center"/>
      </w:pPr>
      <w:r w:rsidRPr="00701D59">
        <w:rPr>
          <w:b/>
        </w:rPr>
        <w:t xml:space="preserve"> DISPENSA DE LICITAÇÃO N° </w:t>
      </w:r>
      <w:r w:rsidR="00C065C6" w:rsidRPr="00701D59">
        <w:rPr>
          <w:b/>
        </w:rPr>
        <w:t>92</w:t>
      </w:r>
      <w:r w:rsidR="00E07221" w:rsidRPr="00701D59">
        <w:rPr>
          <w:b/>
        </w:rPr>
        <w:t>/2021</w:t>
      </w:r>
    </w:p>
    <w:p w:rsidR="001A4E20" w:rsidRPr="00701D59" w:rsidRDefault="00900D42" w:rsidP="00E07221">
      <w:pPr>
        <w:spacing w:line="259" w:lineRule="auto"/>
        <w:ind w:left="59" w:right="0" w:firstLine="0"/>
        <w:jc w:val="center"/>
      </w:pPr>
      <w:r w:rsidRPr="00701D59">
        <w:rPr>
          <w:b/>
        </w:rPr>
        <w:t xml:space="preserve"> </w:t>
      </w:r>
    </w:p>
    <w:p w:rsidR="001A4E20" w:rsidRPr="00701D59" w:rsidRDefault="00900D42">
      <w:pPr>
        <w:spacing w:line="259" w:lineRule="auto"/>
        <w:ind w:left="0" w:right="0" w:firstLine="0"/>
        <w:jc w:val="left"/>
      </w:pPr>
      <w:r w:rsidRPr="00701D59">
        <w:t xml:space="preserve"> </w:t>
      </w:r>
    </w:p>
    <w:p w:rsidR="001A4E20" w:rsidRPr="00701D59" w:rsidRDefault="00900D42">
      <w:pPr>
        <w:pStyle w:val="Ttulo1"/>
        <w:spacing w:after="10" w:line="248" w:lineRule="auto"/>
        <w:ind w:left="-5" w:right="0"/>
        <w:jc w:val="left"/>
      </w:pPr>
      <w:r w:rsidRPr="00701D59">
        <w:t xml:space="preserve">I - DO OBJETO </w:t>
      </w:r>
    </w:p>
    <w:p w:rsidR="009A2758" w:rsidRPr="00701D59" w:rsidRDefault="009A2758" w:rsidP="009A2758"/>
    <w:p w:rsidR="001A4E20" w:rsidRPr="00701D59" w:rsidRDefault="00900D42">
      <w:pPr>
        <w:ind w:left="-5" w:right="8"/>
      </w:pPr>
      <w:r w:rsidRPr="00701D59">
        <w:t xml:space="preserve">O objeto da presente dispensa de licitação é a </w:t>
      </w:r>
      <w:r w:rsidR="00664EC9" w:rsidRPr="00701D59">
        <w:rPr>
          <w:rFonts w:cs="Times New Roman"/>
          <w:b/>
          <w:color w:val="FF0000"/>
        </w:rPr>
        <w:t>CONTRATAÇÃO DE EMPRESA ESPECIALIZADA PARA EXECUÇÃO DE EDIFICAÇÕES PARA SUPORTE DE UMA ESTAÇÃO DE TRATAMENTO DE ÁGUA, INCLUINDO O FORNECIMENTO DE MATERIAIS E SERVIÇOS DE MÃO DE OBRA, CFE. PROJETO, MEMORIAL E ORÇAMENTO EM ANEXO</w:t>
      </w:r>
      <w:r w:rsidR="00744141" w:rsidRPr="00701D59">
        <w:rPr>
          <w:b/>
        </w:rPr>
        <w:t>.</w:t>
      </w:r>
      <w:r w:rsidR="00F4403F" w:rsidRPr="00701D59">
        <w:t xml:space="preserve"> </w:t>
      </w:r>
    </w:p>
    <w:p w:rsidR="001A4E20" w:rsidRPr="00701D59" w:rsidRDefault="00900D42">
      <w:pPr>
        <w:spacing w:line="259" w:lineRule="auto"/>
        <w:ind w:left="0" w:right="0" w:firstLine="0"/>
        <w:jc w:val="left"/>
      </w:pPr>
      <w:r w:rsidRPr="00701D59">
        <w:t xml:space="preserve"> </w:t>
      </w:r>
    </w:p>
    <w:p w:rsidR="00650E2C" w:rsidRPr="00701D59" w:rsidRDefault="00650E2C">
      <w:pPr>
        <w:pStyle w:val="Ttulo1"/>
        <w:spacing w:after="10" w:line="248" w:lineRule="auto"/>
        <w:ind w:left="-5" w:right="0"/>
        <w:jc w:val="left"/>
      </w:pPr>
    </w:p>
    <w:p w:rsidR="001A4E20" w:rsidRPr="00701D59" w:rsidRDefault="00900D42">
      <w:pPr>
        <w:pStyle w:val="Ttulo1"/>
        <w:spacing w:after="10" w:line="248" w:lineRule="auto"/>
        <w:ind w:left="-5" w:right="0"/>
        <w:jc w:val="left"/>
      </w:pPr>
      <w:r w:rsidRPr="00701D59">
        <w:t xml:space="preserve">II – DA DISPENSA DE LICITAÇÃO </w:t>
      </w:r>
    </w:p>
    <w:p w:rsidR="001E6BC7" w:rsidRPr="00701D59" w:rsidRDefault="001E6BC7" w:rsidP="001E6BC7"/>
    <w:p w:rsidR="001A4E20" w:rsidRPr="00701D59" w:rsidRDefault="00900D42">
      <w:pPr>
        <w:ind w:left="-5" w:right="8"/>
      </w:pPr>
      <w:r w:rsidRPr="00701D59">
        <w:t xml:space="preserve">No caso em questão verifica-se a Dispensa de Licitação com base jurídica no inciso </w:t>
      </w:r>
      <w:r w:rsidR="00744141" w:rsidRPr="00701D59">
        <w:t>V do art. 24 da Lei nº 8.666/93</w:t>
      </w:r>
      <w:r w:rsidRPr="00701D59">
        <w:t xml:space="preserve">: </w:t>
      </w:r>
    </w:p>
    <w:p w:rsidR="001A4E20" w:rsidRPr="00701D59" w:rsidRDefault="00900D42">
      <w:pPr>
        <w:spacing w:line="259" w:lineRule="auto"/>
        <w:ind w:left="0" w:right="0" w:firstLine="0"/>
        <w:jc w:val="left"/>
      </w:pPr>
      <w:r w:rsidRPr="00701D59">
        <w:t xml:space="preserve"> </w:t>
      </w:r>
    </w:p>
    <w:p w:rsidR="001A4E20" w:rsidRPr="00701D59" w:rsidRDefault="00900D42">
      <w:pPr>
        <w:ind w:left="3965" w:right="4"/>
      </w:pPr>
      <w:r w:rsidRPr="00701D59">
        <w:rPr>
          <w:i/>
        </w:rPr>
        <w:t xml:space="preserve">“Art. 24 É dispensável a licitação: </w:t>
      </w:r>
    </w:p>
    <w:p w:rsidR="001A4E20" w:rsidRPr="00701D59" w:rsidRDefault="00900D42">
      <w:pPr>
        <w:spacing w:line="259" w:lineRule="auto"/>
        <w:ind w:left="1559" w:right="2500"/>
        <w:jc w:val="center"/>
      </w:pPr>
      <w:r w:rsidRPr="00701D59">
        <w:rPr>
          <w:i/>
        </w:rPr>
        <w:t xml:space="preserve">... </w:t>
      </w:r>
    </w:p>
    <w:p w:rsidR="00744141" w:rsidRPr="00701D59" w:rsidRDefault="00744141" w:rsidP="00744141">
      <w:pPr>
        <w:spacing w:line="360" w:lineRule="auto"/>
        <w:rPr>
          <w:i/>
        </w:rPr>
      </w:pPr>
    </w:p>
    <w:p w:rsidR="00744141" w:rsidRPr="00701D59" w:rsidRDefault="00744141" w:rsidP="00744141">
      <w:pPr>
        <w:spacing w:line="240" w:lineRule="auto"/>
        <w:ind w:left="3969"/>
        <w:rPr>
          <w:i/>
        </w:rPr>
      </w:pPr>
      <w:r w:rsidRPr="00701D59">
        <w:rPr>
          <w:i/>
        </w:rPr>
        <w:t xml:space="preserve">V- Quando não acudirem interessados à licitação e </w:t>
      </w:r>
      <w:proofErr w:type="spellStart"/>
      <w:r w:rsidRPr="00701D59">
        <w:rPr>
          <w:i/>
        </w:rPr>
        <w:t>esta</w:t>
      </w:r>
      <w:proofErr w:type="spellEnd"/>
      <w:r w:rsidRPr="00701D59">
        <w:rPr>
          <w:i/>
        </w:rPr>
        <w:t>, justificadamente, não puder ser repetida sem prejuízo para a administração, mantidas nesse caso, todas as condições preestabelecidas”</w:t>
      </w:r>
    </w:p>
    <w:p w:rsidR="00744141" w:rsidRPr="00701D59" w:rsidRDefault="00744141">
      <w:pPr>
        <w:ind w:left="3965" w:right="4"/>
      </w:pPr>
    </w:p>
    <w:p w:rsidR="001A4E20" w:rsidRPr="00701D59" w:rsidRDefault="00900D42">
      <w:pPr>
        <w:spacing w:line="259" w:lineRule="auto"/>
        <w:ind w:left="0" w:right="0" w:firstLine="0"/>
        <w:jc w:val="left"/>
      </w:pPr>
      <w:r w:rsidRPr="00701D59">
        <w:t xml:space="preserve"> </w:t>
      </w:r>
    </w:p>
    <w:p w:rsidR="001E6BC7" w:rsidRPr="00701D59" w:rsidRDefault="00900D42">
      <w:pPr>
        <w:pStyle w:val="Ttulo1"/>
        <w:spacing w:after="10" w:line="248" w:lineRule="auto"/>
        <w:ind w:left="-5" w:right="0"/>
        <w:jc w:val="left"/>
      </w:pPr>
      <w:r w:rsidRPr="00701D59">
        <w:t xml:space="preserve">III – DA JUSTIFICATIVA DA DISPENSA </w:t>
      </w:r>
    </w:p>
    <w:p w:rsidR="00C00AAE" w:rsidRPr="00701D59" w:rsidRDefault="00C00AAE" w:rsidP="00C00AAE">
      <w:pPr>
        <w:ind w:left="0" w:firstLine="0"/>
      </w:pPr>
    </w:p>
    <w:p w:rsidR="00744141" w:rsidRPr="00701D59" w:rsidRDefault="00744141" w:rsidP="00744141">
      <w:pPr>
        <w:spacing w:line="360" w:lineRule="auto"/>
        <w:ind w:firstLine="284"/>
      </w:pPr>
      <w:r w:rsidRPr="00701D59">
        <w:t>É fácil visualizar no texto do dispositivo transcrito que a ausência de interessados em participar de licitação regularmente processada, conduz a uma situação administrativa de possibilidade de contratação direta. A hipótese do inc. V do art. 24 trata da licitação deserta ou fracassada. A licitação será dispensável quando não acudirem interessados à licitação anterior e a repetição do procedimento redundar em prejuízo para a Administração, mantidas as condições preestabelecidas.</w:t>
      </w:r>
    </w:p>
    <w:p w:rsidR="008C11F0" w:rsidRPr="00701D59" w:rsidRDefault="00744141" w:rsidP="00744141">
      <w:pPr>
        <w:spacing w:line="360" w:lineRule="auto"/>
        <w:ind w:firstLine="284"/>
      </w:pPr>
      <w:r w:rsidRPr="00701D59">
        <w:t xml:space="preserve">A contratação a cima referida por essa dispensa foi objeto </w:t>
      </w:r>
      <w:r w:rsidR="00664EC9" w:rsidRPr="00701D59">
        <w:t>de dois</w:t>
      </w:r>
      <w:r w:rsidRPr="00701D59">
        <w:t xml:space="preserve"> processos licitatórios, sendo eles Processo Licitatório </w:t>
      </w:r>
      <w:r w:rsidR="00664EC9" w:rsidRPr="00701D59">
        <w:t>1</w:t>
      </w:r>
      <w:r w:rsidRPr="00701D59">
        <w:t xml:space="preserve">34/2021 </w:t>
      </w:r>
      <w:r w:rsidR="00664EC9" w:rsidRPr="00701D59">
        <w:t>–</w:t>
      </w:r>
      <w:r w:rsidRPr="00701D59">
        <w:t xml:space="preserve"> </w:t>
      </w:r>
      <w:r w:rsidR="00664EC9" w:rsidRPr="00701D59">
        <w:t>Tomada de Preços</w:t>
      </w:r>
      <w:r w:rsidRPr="00701D59">
        <w:t xml:space="preserve"> nº 08/2021</w:t>
      </w:r>
      <w:r w:rsidR="00625AC3" w:rsidRPr="00701D59">
        <w:t xml:space="preserve">, Processo Licitatório </w:t>
      </w:r>
      <w:r w:rsidR="00664EC9" w:rsidRPr="00701D59">
        <w:t>148</w:t>
      </w:r>
      <w:r w:rsidR="00625AC3" w:rsidRPr="00701D59">
        <w:t xml:space="preserve">/2021 </w:t>
      </w:r>
      <w:r w:rsidR="00664EC9" w:rsidRPr="00701D59">
        <w:t>–</w:t>
      </w:r>
      <w:r w:rsidR="00625AC3" w:rsidRPr="00701D59">
        <w:t xml:space="preserve"> </w:t>
      </w:r>
      <w:r w:rsidR="00664EC9" w:rsidRPr="00701D59">
        <w:t>Tomada de preços nº 10</w:t>
      </w:r>
      <w:r w:rsidR="00625AC3" w:rsidRPr="00701D59">
        <w:t>/2021, todos</w:t>
      </w:r>
      <w:r w:rsidRPr="00701D59">
        <w:t xml:space="preserve"> devidamente publicado</w:t>
      </w:r>
      <w:r w:rsidR="00625AC3" w:rsidRPr="00701D59">
        <w:t>s</w:t>
      </w:r>
      <w:r w:rsidRPr="00701D59">
        <w:t xml:space="preserve">, porem </w:t>
      </w:r>
      <w:r w:rsidR="008C11F0" w:rsidRPr="00701D59">
        <w:t>no primeiro processo</w:t>
      </w:r>
      <w:r w:rsidR="00625AC3" w:rsidRPr="00701D59">
        <w:t xml:space="preserve"> </w:t>
      </w:r>
      <w:r w:rsidRPr="00701D59">
        <w:t>ninguém comparece</w:t>
      </w:r>
      <w:r w:rsidR="00625AC3" w:rsidRPr="00701D59">
        <w:t>u ao certame no dia da abertura</w:t>
      </w:r>
      <w:r w:rsidR="008C11F0" w:rsidRPr="00701D59">
        <w:t xml:space="preserve"> e no segundo processo a única empresa que veio participar do certame não tinha objeto social compatível com o licitado, fracassando o certame</w:t>
      </w:r>
      <w:r w:rsidRPr="00701D59">
        <w:t xml:space="preserve">. Desta feita, buscamos no mandamento legal supramencionado a </w:t>
      </w:r>
      <w:r w:rsidRPr="00701D59">
        <w:lastRenderedPageBreak/>
        <w:t xml:space="preserve">permissão para contratar direto, uma vez que </w:t>
      </w:r>
      <w:r w:rsidR="008C11F0" w:rsidRPr="00701D59">
        <w:t>a edificação será a base para comportar uma estação tratamento de água, ademais cabe salientar que a estação está quase pronta para ser instalada, porém não temos a base para sua devida instalação.</w:t>
      </w:r>
    </w:p>
    <w:p w:rsidR="00744141" w:rsidRPr="00701D59" w:rsidRDefault="00744141" w:rsidP="00744141">
      <w:pPr>
        <w:spacing w:line="360" w:lineRule="auto"/>
        <w:ind w:firstLine="284"/>
      </w:pPr>
      <w:r w:rsidRPr="00701D59">
        <w:t>Na licitação deserta, não há licitantes, ninguém ofereceu à Administração envelopes com suas propostas e documentos de habilitação, ou seja, não se consegue obter da licitação o objetivo visado, qual seja, selecionar a proposta mais vantajosa para celebrar avença com a Administração, em função da ausência de interessados. Sublinha-se que a Administração oportunizou a todos do ramo a participação, tratando todos com isonomia, entretanto ninguém compareceu ao certame, nenhum particular demonstrou interesse em contratar com a Administração sequer atendendo à convocação de apresentar propostas, repetir novamente o mesmo certame</w:t>
      </w:r>
      <w:r w:rsidR="008C11F0" w:rsidRPr="00701D59">
        <w:t xml:space="preserve"> pela 3° (terceira</w:t>
      </w:r>
      <w:r w:rsidR="00625AC3" w:rsidRPr="00701D59">
        <w:t xml:space="preserve"> vez)</w:t>
      </w:r>
      <w:r w:rsidRPr="00701D59">
        <w:t>, com certeza, traria imenso prejuízo a Administração</w:t>
      </w:r>
      <w:r w:rsidR="008C11F0" w:rsidRPr="00701D59">
        <w:t xml:space="preserve"> e atrasaria ainda mais a instalação da estação, sendo que há um decreto de emergência em razão da estiagem que compromete o abastecimento de água à população, havendo inclusive transporte de água para atender a demanda de abastecimento no município</w:t>
      </w:r>
      <w:r w:rsidRPr="00701D59">
        <w:t>.</w:t>
      </w:r>
    </w:p>
    <w:p w:rsidR="005D3653" w:rsidRPr="00701D59" w:rsidRDefault="005D3653" w:rsidP="005D3653">
      <w:pPr>
        <w:pStyle w:val="Ttulo1"/>
        <w:spacing w:after="10" w:line="248" w:lineRule="auto"/>
        <w:ind w:left="-5" w:right="0"/>
        <w:jc w:val="left"/>
      </w:pPr>
    </w:p>
    <w:p w:rsidR="001A4E20" w:rsidRPr="00701D59" w:rsidRDefault="00900D42" w:rsidP="005D3653">
      <w:pPr>
        <w:pStyle w:val="Ttulo1"/>
        <w:spacing w:after="10" w:line="248" w:lineRule="auto"/>
        <w:ind w:left="-5" w:right="0"/>
        <w:jc w:val="left"/>
      </w:pPr>
      <w:r w:rsidRPr="00701D59">
        <w:t xml:space="preserve">IV </w:t>
      </w:r>
      <w:r w:rsidRPr="00701D59">
        <w:rPr>
          <w:i/>
        </w:rPr>
        <w:t xml:space="preserve">– </w:t>
      </w:r>
      <w:r w:rsidRPr="00701D59">
        <w:t xml:space="preserve">DA ESCOLHA DO FORNECEDOR OU EXECUTANTE </w:t>
      </w:r>
    </w:p>
    <w:p w:rsidR="001E6BC7" w:rsidRPr="00701D59" w:rsidRDefault="001E6BC7" w:rsidP="001E6BC7"/>
    <w:p w:rsidR="001A4E20" w:rsidRPr="00701D59" w:rsidRDefault="00900D42" w:rsidP="004505BB">
      <w:pPr>
        <w:spacing w:line="360" w:lineRule="auto"/>
        <w:ind w:left="-5" w:right="8"/>
      </w:pPr>
      <w:r w:rsidRPr="00701D59">
        <w:t>A</w:t>
      </w:r>
      <w:r w:rsidR="00625AC3" w:rsidRPr="00701D59">
        <w:t>s</w:t>
      </w:r>
      <w:r w:rsidRPr="00701D59">
        <w:t xml:space="preserve"> empresa</w:t>
      </w:r>
      <w:r w:rsidR="00625AC3" w:rsidRPr="00701D59">
        <w:t>s</w:t>
      </w:r>
      <w:r w:rsidRPr="00701D59">
        <w:t xml:space="preserve"> escolhida</w:t>
      </w:r>
      <w:r w:rsidR="00625AC3" w:rsidRPr="00701D59">
        <w:t>s</w:t>
      </w:r>
      <w:r w:rsidRPr="00701D59">
        <w:t xml:space="preserve"> neste processo para sacramentar a contratação do objeto pretendido, foi:  </w:t>
      </w:r>
    </w:p>
    <w:p w:rsidR="00A247F8" w:rsidRPr="00701D59" w:rsidRDefault="00A247F8" w:rsidP="004505BB">
      <w:pPr>
        <w:spacing w:line="360" w:lineRule="auto"/>
        <w:ind w:left="-5" w:right="8"/>
      </w:pPr>
    </w:p>
    <w:p w:rsidR="001A4E20" w:rsidRPr="00701D59" w:rsidRDefault="00900D42" w:rsidP="004505BB">
      <w:pPr>
        <w:spacing w:line="360" w:lineRule="auto"/>
        <w:ind w:left="1599" w:right="8"/>
      </w:pPr>
      <w:r w:rsidRPr="00701D59">
        <w:t xml:space="preserve">● </w:t>
      </w:r>
      <w:r w:rsidR="002A20DC" w:rsidRPr="00701D59">
        <w:rPr>
          <w:b/>
        </w:rPr>
        <w:t>ASSIS &amp; SOUZA CONSTRUÇÕES LTDA</w:t>
      </w:r>
      <w:r w:rsidR="005D3653" w:rsidRPr="00701D59">
        <w:rPr>
          <w:b/>
        </w:rPr>
        <w:t xml:space="preserve">, </w:t>
      </w:r>
      <w:r w:rsidR="005D3653" w:rsidRPr="00701D59">
        <w:t>inscrita sob</w:t>
      </w:r>
      <w:r w:rsidR="005D3653" w:rsidRPr="00701D59">
        <w:rPr>
          <w:b/>
        </w:rPr>
        <w:t xml:space="preserve"> </w:t>
      </w:r>
      <w:r w:rsidRPr="00701D59">
        <w:t xml:space="preserve">CNPJ: </w:t>
      </w:r>
      <w:r w:rsidR="002A20DC" w:rsidRPr="00701D59">
        <w:t>15.317.717/0001-39</w:t>
      </w:r>
      <w:r w:rsidRPr="00701D59">
        <w:t xml:space="preserve">, estabelecida </w:t>
      </w:r>
      <w:r w:rsidR="00625AC3" w:rsidRPr="00701D59">
        <w:t xml:space="preserve">na </w:t>
      </w:r>
      <w:r w:rsidR="002A20DC" w:rsidRPr="00701D59">
        <w:t xml:space="preserve">Rua </w:t>
      </w:r>
      <w:proofErr w:type="spellStart"/>
      <w:r w:rsidR="002A20DC" w:rsidRPr="00701D59">
        <w:t>Felisbino</w:t>
      </w:r>
      <w:proofErr w:type="spellEnd"/>
      <w:r w:rsidR="002A20DC" w:rsidRPr="00701D59">
        <w:t xml:space="preserve"> Miranda Portes n° 238, Bairro Santa Terezinha em Xaxim/SC, CEP: 89825-000</w:t>
      </w:r>
      <w:r w:rsidR="001F3CD1" w:rsidRPr="00701D59">
        <w:t>.</w:t>
      </w:r>
      <w:r w:rsidRPr="00701D59">
        <w:t xml:space="preserve"> </w:t>
      </w:r>
    </w:p>
    <w:p w:rsidR="00A247F8" w:rsidRPr="00701D59" w:rsidRDefault="00A247F8" w:rsidP="00FD3F4E">
      <w:pPr>
        <w:ind w:right="8"/>
      </w:pPr>
    </w:p>
    <w:p w:rsidR="00A247F8" w:rsidRPr="00701D59" w:rsidRDefault="00A247F8" w:rsidP="00A247F8">
      <w:pPr>
        <w:ind w:left="0" w:right="8" w:firstLine="0"/>
      </w:pPr>
    </w:p>
    <w:p w:rsidR="005D3653" w:rsidRPr="00701D59" w:rsidRDefault="005D3653">
      <w:pPr>
        <w:pStyle w:val="Ttulo1"/>
        <w:spacing w:after="10" w:line="248" w:lineRule="auto"/>
        <w:ind w:left="-5" w:right="0"/>
        <w:jc w:val="left"/>
      </w:pPr>
    </w:p>
    <w:p w:rsidR="001A4E20" w:rsidRPr="00701D59" w:rsidRDefault="00900D42">
      <w:pPr>
        <w:pStyle w:val="Ttulo1"/>
        <w:spacing w:after="10" w:line="248" w:lineRule="auto"/>
        <w:ind w:left="-5" w:right="0"/>
        <w:jc w:val="left"/>
      </w:pPr>
      <w:r w:rsidRPr="00701D59">
        <w:t xml:space="preserve">V </w:t>
      </w:r>
      <w:r w:rsidRPr="00701D59">
        <w:rPr>
          <w:i/>
        </w:rPr>
        <w:t xml:space="preserve">– </w:t>
      </w:r>
      <w:r w:rsidRPr="00701D59">
        <w:t xml:space="preserve">DA RAZÃO DA ESCOLHA DO FORNECEDOR OU EXECUTANTE </w:t>
      </w:r>
    </w:p>
    <w:p w:rsidR="001E6BC7" w:rsidRPr="00701D59" w:rsidRDefault="001E6BC7" w:rsidP="001E6BC7"/>
    <w:p w:rsidR="001A4E20" w:rsidRPr="00701D59" w:rsidRDefault="00900D42" w:rsidP="004505BB">
      <w:pPr>
        <w:spacing w:line="360" w:lineRule="auto"/>
        <w:ind w:left="-5" w:right="8" w:firstLine="5"/>
      </w:pPr>
      <w:r w:rsidRPr="00701D59">
        <w:t xml:space="preserve">Em análise aos presentes autos, foram realizadas pesquisas de preços </w:t>
      </w:r>
      <w:r w:rsidR="00482002" w:rsidRPr="00701D59">
        <w:t>com diversas</w:t>
      </w:r>
      <w:r w:rsidRPr="00701D59">
        <w:t xml:space="preserve"> empresas,</w:t>
      </w:r>
      <w:r w:rsidR="00482002" w:rsidRPr="00701D59">
        <w:t xml:space="preserve"> juntando ao presente processo os mesmos orçamentos para lançar o último processo licitatório, ademais o inciso V da Lei de licitações no diz o seguinte [...] </w:t>
      </w:r>
      <w:r w:rsidR="00482002" w:rsidRPr="00701D59">
        <w:rPr>
          <w:i/>
        </w:rPr>
        <w:t xml:space="preserve">mantidas nesse caso, todas as condições preestabelecidas. </w:t>
      </w:r>
      <w:r w:rsidR="00482002" w:rsidRPr="00701D59">
        <w:t>Nesse caso, considerando os orçamentos propostos para a licitação,</w:t>
      </w:r>
      <w:r w:rsidRPr="00701D59">
        <w:t xml:space="preserve"> a empresa escolhida</w:t>
      </w:r>
      <w:r w:rsidR="002A20DC" w:rsidRPr="00701D59">
        <w:t xml:space="preserve"> apresentou </w:t>
      </w:r>
      <w:r w:rsidRPr="00701D59">
        <w:t xml:space="preserve">o menor preço - compatível com os atualmente praticados. </w:t>
      </w:r>
    </w:p>
    <w:p w:rsidR="001A4E20" w:rsidRPr="00701D59" w:rsidRDefault="00900D42" w:rsidP="004505BB">
      <w:pPr>
        <w:spacing w:after="163" w:line="360" w:lineRule="auto"/>
        <w:ind w:left="-5" w:right="8"/>
      </w:pPr>
      <w:r w:rsidRPr="00701D59">
        <w:lastRenderedPageBreak/>
        <w:t xml:space="preserve">A Contratação da empresa supracitada é compatível e não apresenta diferença que venha a influenciar na escolha, ficando </w:t>
      </w:r>
      <w:proofErr w:type="spellStart"/>
      <w:r w:rsidRPr="00701D59">
        <w:t>esta</w:t>
      </w:r>
      <w:proofErr w:type="spellEnd"/>
      <w:r w:rsidRPr="00701D59">
        <w:t xml:space="preserve"> vinculada apenas à verificação do critério do menor preço. </w:t>
      </w:r>
    </w:p>
    <w:p w:rsidR="001A4E20" w:rsidRPr="00701D59" w:rsidRDefault="00900D42">
      <w:pPr>
        <w:spacing w:line="259" w:lineRule="auto"/>
        <w:ind w:left="0" w:right="0" w:firstLine="0"/>
        <w:jc w:val="left"/>
      </w:pPr>
      <w:r w:rsidRPr="00701D59">
        <w:t xml:space="preserve"> </w:t>
      </w:r>
    </w:p>
    <w:p w:rsidR="001A4E20" w:rsidRPr="00701D59" w:rsidRDefault="00900D42">
      <w:pPr>
        <w:pStyle w:val="Ttulo1"/>
        <w:spacing w:after="10" w:line="248" w:lineRule="auto"/>
        <w:ind w:left="-5" w:right="0"/>
        <w:jc w:val="left"/>
      </w:pPr>
      <w:r w:rsidRPr="00701D59">
        <w:t xml:space="preserve">VI– DA JUSTIFICATIVA DO PREÇO </w:t>
      </w:r>
    </w:p>
    <w:p w:rsidR="001E6BC7" w:rsidRPr="00701D59" w:rsidRDefault="001E6BC7" w:rsidP="001E6BC7"/>
    <w:p w:rsidR="001A4E20" w:rsidRPr="00701D59" w:rsidRDefault="00900D42" w:rsidP="004505BB">
      <w:pPr>
        <w:spacing w:line="360" w:lineRule="auto"/>
        <w:ind w:left="-5" w:right="8"/>
      </w:pPr>
      <w:r w:rsidRPr="00701D59">
        <w:t xml:space="preserve">O critério do menor preço deve presidir a escolha do adjudicatário direto como regra geral, e o meio de aferi-lo está em juntar aos autos do respectivo processo pelo menos 03 (três) propostas. </w:t>
      </w:r>
    </w:p>
    <w:p w:rsidR="001A4E20" w:rsidRPr="00701D59" w:rsidRDefault="00900D42" w:rsidP="004505BB">
      <w:pPr>
        <w:spacing w:line="360" w:lineRule="auto"/>
        <w:ind w:left="-5" w:right="8"/>
      </w:pPr>
      <w:r w:rsidRPr="00701D59">
        <w:t xml:space="preserve">No caso em questão verificamos a presença de três propostas, sendo escolhida a de menor valor. </w:t>
      </w:r>
    </w:p>
    <w:p w:rsidR="001A4E20" w:rsidRPr="00701D59" w:rsidRDefault="00900D42">
      <w:pPr>
        <w:spacing w:line="259" w:lineRule="auto"/>
        <w:ind w:left="0" w:right="0" w:firstLine="0"/>
        <w:jc w:val="left"/>
      </w:pPr>
      <w:r w:rsidRPr="00701D59">
        <w:t xml:space="preserve"> </w:t>
      </w:r>
    </w:p>
    <w:p w:rsidR="001A4E20" w:rsidRPr="00701D59" w:rsidRDefault="00900D42">
      <w:pPr>
        <w:pStyle w:val="Ttulo1"/>
        <w:spacing w:after="10" w:line="248" w:lineRule="auto"/>
        <w:ind w:left="-5" w:right="0"/>
        <w:jc w:val="left"/>
      </w:pPr>
      <w:r w:rsidRPr="00701D59">
        <w:t xml:space="preserve">VII- DO PAGAMENTO </w:t>
      </w:r>
    </w:p>
    <w:p w:rsidR="001E6BC7" w:rsidRPr="00701D59" w:rsidRDefault="001E6BC7" w:rsidP="001E6BC7"/>
    <w:p w:rsidR="00537A99" w:rsidRPr="00701D59" w:rsidRDefault="00900D42" w:rsidP="004505BB">
      <w:pPr>
        <w:spacing w:line="360" w:lineRule="auto"/>
        <w:ind w:left="-5" w:right="8"/>
        <w:rPr>
          <w:color w:val="FF0000"/>
        </w:rPr>
      </w:pPr>
      <w:r w:rsidRPr="00701D59">
        <w:t xml:space="preserve">O Município pagará pelo Objeto contratado, o valor de </w:t>
      </w:r>
      <w:r w:rsidR="00AE3F8F" w:rsidRPr="00701D59">
        <w:t xml:space="preserve">total de </w:t>
      </w:r>
      <w:r w:rsidR="002A20DC" w:rsidRPr="00701D59">
        <w:rPr>
          <w:color w:val="FF0000"/>
        </w:rPr>
        <w:t>87.750,00 (Oitenta e sete mil setecentos e cinquenta reais).</w:t>
      </w:r>
    </w:p>
    <w:p w:rsidR="001A4E20" w:rsidRPr="00701D59" w:rsidRDefault="00900D42" w:rsidP="004505BB">
      <w:pPr>
        <w:spacing w:line="360" w:lineRule="auto"/>
        <w:ind w:left="-5" w:right="8"/>
      </w:pPr>
      <w:r w:rsidRPr="00701D59">
        <w:t xml:space="preserve">As despesas decorrentes desta dispensa de licitação correrão a cargo da </w:t>
      </w:r>
      <w:r w:rsidR="007D59B1" w:rsidRPr="00701D59">
        <w:t>dotação</w:t>
      </w:r>
      <w:r w:rsidR="00316AF0" w:rsidRPr="00701D59">
        <w:t xml:space="preserve">: </w:t>
      </w:r>
      <w:r w:rsidR="00A31553" w:rsidRPr="00701D59">
        <w:rPr>
          <w:color w:val="FF0000"/>
        </w:rPr>
        <w:t>(Projeto Ativi</w:t>
      </w:r>
      <w:r w:rsidR="00EB6244" w:rsidRPr="00701D59">
        <w:rPr>
          <w:color w:val="FF0000"/>
        </w:rPr>
        <w:t>dade 2.059</w:t>
      </w:r>
      <w:r w:rsidR="00BC713C" w:rsidRPr="00701D59">
        <w:rPr>
          <w:color w:val="FF0000"/>
        </w:rPr>
        <w:t xml:space="preserve"> – Elemento 4.4</w:t>
      </w:r>
      <w:r w:rsidRPr="00701D59">
        <w:rPr>
          <w:color w:val="FF0000"/>
        </w:rPr>
        <w:t>.90</w:t>
      </w:r>
      <w:r w:rsidR="00EB6244" w:rsidRPr="00701D59">
        <w:rPr>
          <w:color w:val="FF0000"/>
        </w:rPr>
        <w:t xml:space="preserve"> – Despesa 201</w:t>
      </w:r>
      <w:r w:rsidRPr="00701D59">
        <w:rPr>
          <w:color w:val="FF0000"/>
        </w:rPr>
        <w:t>),</w:t>
      </w:r>
      <w:r w:rsidRPr="00701D59">
        <w:t xml:space="preserve"> prevista na Lei Orçamentária do Exercício de 202</w:t>
      </w:r>
      <w:r w:rsidR="00E07221" w:rsidRPr="00701D59">
        <w:t>1</w:t>
      </w:r>
      <w:r w:rsidRPr="00701D59">
        <w:t xml:space="preserve">. </w:t>
      </w:r>
    </w:p>
    <w:p w:rsidR="002A20DC" w:rsidRPr="00701D59" w:rsidRDefault="002A20DC" w:rsidP="004505BB">
      <w:pPr>
        <w:spacing w:line="360" w:lineRule="auto"/>
        <w:ind w:left="0" w:right="0" w:firstLine="0"/>
        <w:jc w:val="left"/>
      </w:pPr>
    </w:p>
    <w:p w:rsidR="002A20DC" w:rsidRPr="00701D59" w:rsidRDefault="002A20DC" w:rsidP="002A20DC">
      <w:pPr>
        <w:spacing w:line="259" w:lineRule="auto"/>
        <w:ind w:left="0" w:right="0" w:firstLine="0"/>
        <w:jc w:val="left"/>
        <w:rPr>
          <w:b/>
        </w:rPr>
      </w:pPr>
      <w:r w:rsidRPr="00701D59">
        <w:rPr>
          <w:b/>
        </w:rPr>
        <w:t xml:space="preserve">VIII - </w:t>
      </w:r>
      <w:r w:rsidRPr="00701D59">
        <w:rPr>
          <w:rFonts w:cs="Times New Roman"/>
          <w:b/>
        </w:rPr>
        <w:t>DA APRESENTAÇÃO DA HABILITAÇÃO</w:t>
      </w:r>
    </w:p>
    <w:p w:rsidR="002A20DC" w:rsidRPr="00701D59" w:rsidRDefault="002A20DC" w:rsidP="004505BB">
      <w:pPr>
        <w:spacing w:line="360" w:lineRule="auto"/>
        <w:ind w:firstLine="0"/>
        <w:jc w:val="left"/>
        <w:rPr>
          <w:rFonts w:cs="Times New Roman"/>
          <w:b/>
        </w:rPr>
      </w:pPr>
      <w:r w:rsidRPr="00701D59">
        <w:rPr>
          <w:rFonts w:cs="Times New Roman"/>
          <w:b/>
        </w:rPr>
        <w:t xml:space="preserve"> </w:t>
      </w:r>
    </w:p>
    <w:p w:rsidR="002A20DC" w:rsidRPr="00701D59" w:rsidRDefault="002A20DC" w:rsidP="004505BB">
      <w:pPr>
        <w:spacing w:line="360" w:lineRule="auto"/>
        <w:ind w:firstLine="0"/>
        <w:jc w:val="left"/>
        <w:rPr>
          <w:rFonts w:cs="Times New Roman"/>
        </w:rPr>
      </w:pPr>
      <w:r w:rsidRPr="00701D59">
        <w:rPr>
          <w:rFonts w:cs="Times New Roman"/>
        </w:rPr>
        <w:t>8.1 -</w:t>
      </w:r>
      <w:r w:rsidRPr="00701D59">
        <w:rPr>
          <w:rFonts w:cs="Times New Roman"/>
          <w:b/>
        </w:rPr>
        <w:t xml:space="preserve"> </w:t>
      </w:r>
      <w:r w:rsidRPr="00701D59">
        <w:rPr>
          <w:rFonts w:cs="Times New Roman"/>
        </w:rPr>
        <w:t xml:space="preserve">Para fins de habilitação nesta Dispensa, deverão ser apresentados os seguintes documentos: </w:t>
      </w:r>
    </w:p>
    <w:p w:rsidR="002A20DC" w:rsidRPr="00701D59" w:rsidRDefault="002A20DC" w:rsidP="004505BB">
      <w:pPr>
        <w:spacing w:line="360" w:lineRule="auto"/>
        <w:ind w:left="1287" w:firstLine="0"/>
        <w:jc w:val="left"/>
        <w:rPr>
          <w:rFonts w:cs="Times New Roman"/>
        </w:rPr>
      </w:pPr>
      <w:r w:rsidRPr="00701D59">
        <w:rPr>
          <w:rFonts w:cs="Times New Roman"/>
        </w:rPr>
        <w:t xml:space="preserve"> </w:t>
      </w:r>
    </w:p>
    <w:p w:rsidR="002A20DC" w:rsidRPr="00701D59" w:rsidRDefault="002A20DC" w:rsidP="004505BB">
      <w:pPr>
        <w:spacing w:line="360" w:lineRule="auto"/>
        <w:ind w:firstLine="0"/>
        <w:jc w:val="left"/>
        <w:rPr>
          <w:rFonts w:cs="Times New Roman"/>
        </w:rPr>
      </w:pP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Cédula de Identidade dos Diretores/administradores; </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Registro Comercial no caso de Empresa Individual; </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Ato Constitutivo, Estatuto ou Contrato Social em vigor, devidamente registrado e cadastrado, em se tratando de Sociedade Comercial e, no caso de Sociedade por Ações, acompanhado de documento de eleição de seus Administradores. </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Prova de Inscrição no Cadastro Nacional de Pessoa Jurídica (CNPJ) atualizado, emitido nos últimos 90 dias da data da abertura dos envelopes. </w:t>
      </w:r>
    </w:p>
    <w:p w:rsidR="002A20DC" w:rsidRPr="00701D59" w:rsidRDefault="002A20DC" w:rsidP="004505BB">
      <w:pPr>
        <w:spacing w:line="360" w:lineRule="auto"/>
        <w:ind w:firstLine="0"/>
        <w:jc w:val="left"/>
        <w:rPr>
          <w:rFonts w:cs="Times New Roman"/>
        </w:rPr>
      </w:pPr>
      <w:r w:rsidRPr="00701D59">
        <w:rPr>
          <w:rFonts w:cs="Times New Roman"/>
        </w:rPr>
        <w:lastRenderedPageBreak/>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Certidão Conjunta Negativa (ou Positiva com Efeitos de Negativa) de Débitos Relativos a Tributos Federais e à Dívida Ativa da União; </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Certidão Negativa (ou Positiva com Efeitos de Negativa) de Débitos Estaduais; </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Certidão Negativa (ou Positiva com Efeitos de Negativa) de Débitos Municipais, relativa ao Município da sede do licitante; </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Prova de regularidade relativa ao Fundo de Garantia por Tempo de Serviço (CRF do FGTS), demonstrando situação regular no cumprimento dos encargos sociais, instituídos por Lei; </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rsidR="002A20DC" w:rsidRPr="00701D59" w:rsidRDefault="002A20DC" w:rsidP="004505BB">
      <w:pPr>
        <w:pStyle w:val="PargrafodaLista"/>
        <w:spacing w:line="360" w:lineRule="auto"/>
        <w:rPr>
          <w:rFonts w:cs="Times New Roman"/>
        </w:rPr>
      </w:pPr>
    </w:p>
    <w:p w:rsidR="002A20DC" w:rsidRPr="00701D59" w:rsidRDefault="002A20DC" w:rsidP="004505BB">
      <w:pPr>
        <w:spacing w:line="360" w:lineRule="auto"/>
        <w:ind w:left="0" w:firstLine="0"/>
        <w:rPr>
          <w:rFonts w:cs="Times New Roman"/>
          <w:b/>
        </w:rPr>
      </w:pPr>
    </w:p>
    <w:p w:rsidR="002A20DC" w:rsidRPr="00701D59" w:rsidRDefault="002A20DC" w:rsidP="004505BB">
      <w:pPr>
        <w:spacing w:line="360" w:lineRule="auto"/>
        <w:ind w:left="0" w:firstLine="0"/>
        <w:rPr>
          <w:rFonts w:cs="Times New Roman"/>
          <w:b/>
        </w:rPr>
      </w:pPr>
      <w:r w:rsidRPr="00701D59">
        <w:rPr>
          <w:rFonts w:cs="Times New Roman"/>
          <w:b/>
        </w:rPr>
        <w:t>QUALIFICAÇÃO – ECONOMICA FINANCEIRA</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b/>
        </w:rPr>
      </w:pPr>
      <w:r w:rsidRPr="00701D59">
        <w:rPr>
          <w:rFonts w:cs="Times New Roman"/>
        </w:rPr>
        <w:t>Certidão Negativa de Falência e Concordata e Recuperação Judicial (sendo a sede da empresa licitante no Estado de Santa Catarina</w:t>
      </w:r>
      <w:r w:rsidRPr="00701D59">
        <w:rPr>
          <w:rFonts w:cs="Times New Roman"/>
          <w:b/>
        </w:rPr>
        <w:t xml:space="preserve">, </w:t>
      </w:r>
      <w:r w:rsidRPr="00701D59">
        <w:rPr>
          <w:rFonts w:cs="Times New Roman"/>
          <w:b/>
          <w:color w:val="FF0000"/>
        </w:rPr>
        <w:t>deverá emitir a certidão em dois sistemas distintos</w:t>
      </w:r>
      <w:r w:rsidRPr="00701D59">
        <w:rPr>
          <w:rFonts w:cs="Times New Roman"/>
          <w:b/>
        </w:rPr>
        <w:t xml:space="preserve">, sendo eles: </w:t>
      </w:r>
      <w:r w:rsidRPr="00701D59">
        <w:rPr>
          <w:rFonts w:cs="Times New Roman"/>
          <w:b/>
          <w:u w:val="single" w:color="000000"/>
        </w:rPr>
        <w:t>“</w:t>
      </w:r>
      <w:proofErr w:type="spellStart"/>
      <w:r w:rsidRPr="00701D59">
        <w:rPr>
          <w:rFonts w:cs="Times New Roman"/>
          <w:b/>
          <w:u w:val="single" w:color="000000"/>
        </w:rPr>
        <w:t>e-SAJ</w:t>
      </w:r>
      <w:proofErr w:type="spellEnd"/>
      <w:r w:rsidRPr="00701D59">
        <w:rPr>
          <w:rFonts w:cs="Times New Roman"/>
          <w:b/>
          <w:u w:val="single" w:color="000000"/>
        </w:rPr>
        <w:t>”</w:t>
      </w:r>
      <w:r w:rsidRPr="00701D59">
        <w:rPr>
          <w:rFonts w:cs="Times New Roman"/>
          <w:b/>
        </w:rPr>
        <w:t xml:space="preserve"> e </w:t>
      </w:r>
      <w:r w:rsidRPr="00701D59">
        <w:rPr>
          <w:rFonts w:cs="Times New Roman"/>
          <w:b/>
          <w:u w:val="single" w:color="000000"/>
        </w:rPr>
        <w:t>“</w:t>
      </w:r>
      <w:proofErr w:type="spellStart"/>
      <w:r w:rsidRPr="00701D59">
        <w:rPr>
          <w:rFonts w:cs="Times New Roman"/>
          <w:b/>
          <w:u w:val="single" w:color="000000"/>
        </w:rPr>
        <w:t>eproc</w:t>
      </w:r>
      <w:proofErr w:type="spellEnd"/>
      <w:r w:rsidRPr="00701D59">
        <w:rPr>
          <w:rFonts w:cs="Times New Roman"/>
          <w:b/>
          <w:u w:val="single" w:color="000000"/>
        </w:rPr>
        <w:t>”</w:t>
      </w:r>
      <w:r w:rsidRPr="00701D59">
        <w:rPr>
          <w:rFonts w:cs="Times New Roman"/>
          <w:b/>
        </w:rPr>
        <w:t xml:space="preserve"> do Poder Judiciário de Santa Catarina, disponível respectivamente nos sites </w:t>
      </w:r>
      <w:hyperlink r:id="rId7">
        <w:r w:rsidRPr="00701D59">
          <w:rPr>
            <w:rFonts w:cs="Times New Roman"/>
            <w:b/>
            <w:color w:val="0000FF"/>
            <w:u w:val="single" w:color="0000FF"/>
          </w:rPr>
          <w:t>https://esaj.tjsc.jus.br/sco/abrirCadastro.do</w:t>
        </w:r>
      </w:hyperlink>
      <w:hyperlink r:id="rId8">
        <w:r w:rsidRPr="00701D59">
          <w:rPr>
            <w:rFonts w:cs="Times New Roman"/>
            <w:b/>
          </w:rPr>
          <w:t xml:space="preserve"> </w:t>
        </w:r>
      </w:hyperlink>
      <w:r w:rsidRPr="00701D59">
        <w:rPr>
          <w:rFonts w:cs="Times New Roman"/>
          <w:b/>
        </w:rPr>
        <w:t xml:space="preserve">e </w:t>
      </w:r>
      <w:hyperlink r:id="rId9">
        <w:r w:rsidRPr="00701D59">
          <w:rPr>
            <w:rFonts w:cs="Times New Roman"/>
            <w:b/>
            <w:color w:val="0000FF"/>
            <w:u w:val="single" w:color="0000FF"/>
          </w:rPr>
          <w:t>https://certeproc1g.tjsc.jus.br/</w:t>
        </w:r>
      </w:hyperlink>
      <w:hyperlink r:id="rId10">
        <w:r w:rsidRPr="00701D59">
          <w:rPr>
            <w:rFonts w:cs="Times New Roman"/>
            <w:b/>
          </w:rPr>
          <w:t>;</w:t>
        </w:r>
      </w:hyperlink>
      <w:r w:rsidRPr="00701D59">
        <w:rPr>
          <w:rFonts w:cs="Times New Roman"/>
          <w:b/>
        </w:rPr>
        <w:t xml:space="preserve">  </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rsidR="002A20DC" w:rsidRPr="00701D59" w:rsidRDefault="002A20DC" w:rsidP="004505BB">
      <w:pPr>
        <w:numPr>
          <w:ilvl w:val="1"/>
          <w:numId w:val="6"/>
        </w:numPr>
        <w:spacing w:after="4" w:line="360" w:lineRule="auto"/>
        <w:ind w:right="0" w:firstLine="2"/>
        <w:rPr>
          <w:rFonts w:cs="Times New Roman"/>
        </w:rPr>
      </w:pPr>
      <w:r w:rsidRPr="00701D59">
        <w:rPr>
          <w:rFonts w:cs="Times New Roman"/>
        </w:rPr>
        <w:lastRenderedPageBreak/>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Para que seja comprovada a solvência financeira da empresa, é necessário apresentar PLANILHA CONTÁBIL (§ 5º do Art. 31 da Lei 8.666/93)</w:t>
      </w:r>
      <w:r w:rsidRPr="00701D59">
        <w:rPr>
          <w:rFonts w:cs="Times New Roman"/>
          <w:b/>
        </w:rPr>
        <w:t xml:space="preserve"> </w:t>
      </w:r>
      <w:r w:rsidRPr="00701D59">
        <w:rPr>
          <w:rFonts w:cs="Times New Roman"/>
        </w:rPr>
        <w:t>(com valores e resultados, modelo abaixo)</w:t>
      </w:r>
      <w:r w:rsidRPr="00701D59">
        <w:rPr>
          <w:rFonts w:cs="Times New Roman"/>
          <w:b/>
        </w:rPr>
        <w:t xml:space="preserve"> </w:t>
      </w:r>
      <w:r w:rsidRPr="00701D59">
        <w:rPr>
          <w:rFonts w:cs="Times New Roman"/>
        </w:rPr>
        <w:t xml:space="preserve">assinado por Contador ou Profissional Equivalente, devidamente registrado no Conselho Regional de Contabilidade, e pelo Proprietário da empresa licitante, demonstrando a boa situação financeira atual da empresa, avaliada pelos Índices de LIQUIDEZ GERAL (LG),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2A20DC" w:rsidRPr="00701D59" w:rsidTr="008E1772">
        <w:trPr>
          <w:trHeight w:val="217"/>
        </w:trPr>
        <w:tc>
          <w:tcPr>
            <w:tcW w:w="1810" w:type="dxa"/>
            <w:tcBorders>
              <w:top w:val="nil"/>
              <w:left w:val="nil"/>
              <w:bottom w:val="nil"/>
              <w:right w:val="nil"/>
            </w:tcBorders>
          </w:tcPr>
          <w:p w:rsidR="002A20DC" w:rsidRPr="00701D59" w:rsidRDefault="002A20DC" w:rsidP="004505BB">
            <w:pPr>
              <w:spacing w:line="360" w:lineRule="auto"/>
              <w:ind w:left="0" w:right="231" w:firstLine="0"/>
              <w:jc w:val="right"/>
              <w:rPr>
                <w:rFonts w:cs="Times New Roman"/>
              </w:rPr>
            </w:pPr>
            <w:r w:rsidRPr="00701D59">
              <w:rPr>
                <w:rFonts w:cs="Times New Roman"/>
              </w:rPr>
              <w:t xml:space="preserve">LG = </w:t>
            </w:r>
          </w:p>
        </w:tc>
        <w:tc>
          <w:tcPr>
            <w:tcW w:w="5814" w:type="dxa"/>
            <w:tcBorders>
              <w:top w:val="nil"/>
              <w:left w:val="nil"/>
              <w:bottom w:val="nil"/>
              <w:right w:val="nil"/>
            </w:tcBorders>
          </w:tcPr>
          <w:p w:rsidR="002A20DC" w:rsidRPr="00701D59" w:rsidRDefault="002A20DC" w:rsidP="004505BB">
            <w:pPr>
              <w:spacing w:line="360" w:lineRule="auto"/>
              <w:ind w:left="0" w:firstLine="0"/>
              <w:jc w:val="left"/>
              <w:rPr>
                <w:rFonts w:cs="Times New Roman"/>
              </w:rPr>
            </w:pPr>
            <w:r w:rsidRPr="00701D59">
              <w:rPr>
                <w:rFonts w:cs="Times New Roman"/>
                <w:u w:val="single" w:color="000000"/>
              </w:rPr>
              <w:t xml:space="preserve">ATIVO CIRCULANTE + REALIZÁVEL EM LONGO PRAZO </w:t>
            </w:r>
          </w:p>
        </w:tc>
        <w:tc>
          <w:tcPr>
            <w:tcW w:w="721" w:type="dxa"/>
            <w:tcBorders>
              <w:top w:val="nil"/>
              <w:left w:val="nil"/>
              <w:bottom w:val="nil"/>
              <w:right w:val="nil"/>
            </w:tcBorders>
          </w:tcPr>
          <w:p w:rsidR="002A20DC" w:rsidRPr="00701D59" w:rsidRDefault="002A20DC" w:rsidP="004505BB">
            <w:pPr>
              <w:spacing w:line="360" w:lineRule="auto"/>
              <w:ind w:left="0" w:firstLine="0"/>
              <w:rPr>
                <w:rFonts w:cs="Times New Roman"/>
              </w:rPr>
            </w:pPr>
            <w:r w:rsidRPr="00701D59">
              <w:rPr>
                <w:rFonts w:cs="Times New Roman"/>
                <w:b/>
              </w:rPr>
              <w:t xml:space="preserve">&gt; 1,00 </w:t>
            </w:r>
          </w:p>
        </w:tc>
      </w:tr>
      <w:tr w:rsidR="002A20DC" w:rsidRPr="00701D59" w:rsidTr="008E1772">
        <w:trPr>
          <w:trHeight w:val="475"/>
        </w:trPr>
        <w:tc>
          <w:tcPr>
            <w:tcW w:w="1810" w:type="dxa"/>
            <w:tcBorders>
              <w:top w:val="nil"/>
              <w:left w:val="nil"/>
              <w:bottom w:val="nil"/>
              <w:right w:val="nil"/>
            </w:tcBorders>
          </w:tcPr>
          <w:p w:rsidR="002A20DC" w:rsidRPr="00701D59" w:rsidRDefault="002A20DC" w:rsidP="004505BB">
            <w:pPr>
              <w:spacing w:line="360" w:lineRule="auto"/>
              <w:ind w:left="0" w:right="644" w:firstLine="0"/>
              <w:rPr>
                <w:rFonts w:cs="Times New Roman"/>
              </w:rPr>
            </w:pPr>
            <w:r w:rsidRPr="00701D59">
              <w:rPr>
                <w:rFonts w:cs="Times New Roman"/>
              </w:rPr>
              <w:t xml:space="preserve">        </w:t>
            </w:r>
          </w:p>
        </w:tc>
        <w:tc>
          <w:tcPr>
            <w:tcW w:w="5814" w:type="dxa"/>
            <w:tcBorders>
              <w:top w:val="nil"/>
              <w:left w:val="nil"/>
              <w:bottom w:val="nil"/>
              <w:right w:val="nil"/>
            </w:tcBorders>
          </w:tcPr>
          <w:p w:rsidR="002A20DC" w:rsidRPr="00701D59" w:rsidRDefault="002A20DC" w:rsidP="004505BB">
            <w:pPr>
              <w:spacing w:line="360" w:lineRule="auto"/>
              <w:ind w:left="0" w:firstLine="0"/>
              <w:jc w:val="left"/>
              <w:rPr>
                <w:rFonts w:cs="Times New Roman"/>
              </w:rPr>
            </w:pPr>
            <w:r w:rsidRPr="00701D59">
              <w:rPr>
                <w:rFonts w:cs="Times New Roman"/>
              </w:rPr>
              <w:t xml:space="preserve">PASSIVO CIRCULANTE + EXIGIVEL EM LONGO PRAZO </w:t>
            </w:r>
          </w:p>
        </w:tc>
        <w:tc>
          <w:tcPr>
            <w:tcW w:w="721" w:type="dxa"/>
            <w:tcBorders>
              <w:top w:val="nil"/>
              <w:left w:val="nil"/>
              <w:bottom w:val="nil"/>
              <w:right w:val="nil"/>
            </w:tcBorders>
          </w:tcPr>
          <w:p w:rsidR="002A20DC" w:rsidRPr="00701D59" w:rsidRDefault="002A20DC" w:rsidP="004505BB">
            <w:pPr>
              <w:spacing w:line="360" w:lineRule="auto"/>
              <w:ind w:left="0" w:firstLine="0"/>
              <w:jc w:val="left"/>
              <w:rPr>
                <w:rFonts w:cs="Times New Roman"/>
              </w:rPr>
            </w:pPr>
            <w:r w:rsidRPr="00701D59">
              <w:rPr>
                <w:rFonts w:cs="Times New Roman"/>
              </w:rPr>
              <w:t xml:space="preserve"> </w:t>
            </w:r>
          </w:p>
        </w:tc>
      </w:tr>
      <w:tr w:rsidR="002A20DC" w:rsidRPr="00701D59" w:rsidTr="008E1772">
        <w:trPr>
          <w:trHeight w:val="212"/>
        </w:trPr>
        <w:tc>
          <w:tcPr>
            <w:tcW w:w="1810" w:type="dxa"/>
            <w:tcBorders>
              <w:top w:val="nil"/>
              <w:left w:val="nil"/>
              <w:bottom w:val="nil"/>
              <w:right w:val="nil"/>
            </w:tcBorders>
          </w:tcPr>
          <w:p w:rsidR="002A20DC" w:rsidRPr="00701D59" w:rsidRDefault="002A20DC" w:rsidP="004505BB">
            <w:pPr>
              <w:spacing w:line="360" w:lineRule="auto"/>
              <w:ind w:left="0" w:right="226" w:firstLine="0"/>
              <w:jc w:val="right"/>
              <w:rPr>
                <w:rFonts w:cs="Times New Roman"/>
              </w:rPr>
            </w:pPr>
            <w:r w:rsidRPr="00701D59">
              <w:rPr>
                <w:rFonts w:cs="Times New Roman"/>
              </w:rPr>
              <w:t xml:space="preserve">SG = </w:t>
            </w:r>
          </w:p>
        </w:tc>
        <w:tc>
          <w:tcPr>
            <w:tcW w:w="5814" w:type="dxa"/>
            <w:tcBorders>
              <w:top w:val="nil"/>
              <w:left w:val="nil"/>
              <w:bottom w:val="nil"/>
              <w:right w:val="nil"/>
            </w:tcBorders>
          </w:tcPr>
          <w:p w:rsidR="002A20DC" w:rsidRPr="00701D59" w:rsidRDefault="002A20DC" w:rsidP="004505BB">
            <w:pPr>
              <w:spacing w:line="360" w:lineRule="auto"/>
              <w:ind w:left="0" w:firstLine="0"/>
              <w:jc w:val="left"/>
              <w:rPr>
                <w:rFonts w:cs="Times New Roman"/>
              </w:rPr>
            </w:pPr>
            <w:r w:rsidRPr="00701D59">
              <w:rPr>
                <w:rFonts w:cs="Times New Roman"/>
              </w:rPr>
              <w:t xml:space="preserve">ATIVO TOTAL  </w:t>
            </w:r>
          </w:p>
        </w:tc>
        <w:tc>
          <w:tcPr>
            <w:tcW w:w="721" w:type="dxa"/>
            <w:tcBorders>
              <w:top w:val="nil"/>
              <w:left w:val="nil"/>
              <w:bottom w:val="nil"/>
              <w:right w:val="nil"/>
            </w:tcBorders>
          </w:tcPr>
          <w:p w:rsidR="002A20DC" w:rsidRPr="00701D59" w:rsidRDefault="002A20DC" w:rsidP="004505BB">
            <w:pPr>
              <w:spacing w:line="360" w:lineRule="auto"/>
              <w:ind w:left="0" w:firstLine="0"/>
              <w:rPr>
                <w:rFonts w:cs="Times New Roman"/>
              </w:rPr>
            </w:pPr>
            <w:r w:rsidRPr="00701D59">
              <w:rPr>
                <w:rFonts w:cs="Times New Roman"/>
                <w:b/>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2A20DC" w:rsidRPr="00701D59" w:rsidTr="008E1772">
        <w:trPr>
          <w:trHeight w:val="446"/>
        </w:trPr>
        <w:tc>
          <w:tcPr>
            <w:tcW w:w="1810" w:type="dxa"/>
            <w:tcBorders>
              <w:top w:val="nil"/>
              <w:left w:val="nil"/>
              <w:bottom w:val="nil"/>
              <w:right w:val="nil"/>
            </w:tcBorders>
          </w:tcPr>
          <w:p w:rsidR="002A20DC" w:rsidRPr="00701D59" w:rsidRDefault="002A20DC" w:rsidP="004505BB">
            <w:pPr>
              <w:spacing w:line="360" w:lineRule="auto"/>
              <w:ind w:left="0" w:right="644" w:firstLine="0"/>
              <w:rPr>
                <w:rFonts w:cs="Times New Roman"/>
              </w:rPr>
            </w:pPr>
            <w:r w:rsidRPr="00701D59">
              <w:rPr>
                <w:rFonts w:cs="Times New Roman"/>
              </w:rPr>
              <w:t xml:space="preserve">  </w:t>
            </w:r>
          </w:p>
        </w:tc>
        <w:tc>
          <w:tcPr>
            <w:tcW w:w="5814" w:type="dxa"/>
            <w:tcBorders>
              <w:top w:val="nil"/>
              <w:left w:val="nil"/>
              <w:bottom w:val="nil"/>
              <w:right w:val="nil"/>
            </w:tcBorders>
          </w:tcPr>
          <w:p w:rsidR="002A20DC" w:rsidRPr="00701D59" w:rsidRDefault="002A20DC" w:rsidP="004505BB">
            <w:pPr>
              <w:spacing w:line="360" w:lineRule="auto"/>
              <w:ind w:left="0" w:firstLine="0"/>
              <w:jc w:val="left"/>
              <w:rPr>
                <w:rFonts w:cs="Times New Roman"/>
              </w:rPr>
            </w:pPr>
            <w:r w:rsidRPr="00701D59">
              <w:rPr>
                <w:rFonts w:cs="Times New Roman"/>
              </w:rPr>
              <w:t xml:space="preserve">PASSIVO CIRCULANTE + EXIGIVEL EM LONGO PRAZO </w:t>
            </w:r>
          </w:p>
        </w:tc>
        <w:tc>
          <w:tcPr>
            <w:tcW w:w="721" w:type="dxa"/>
            <w:tcBorders>
              <w:top w:val="nil"/>
              <w:left w:val="nil"/>
              <w:bottom w:val="nil"/>
              <w:right w:val="nil"/>
            </w:tcBorders>
          </w:tcPr>
          <w:p w:rsidR="002A20DC" w:rsidRPr="00701D59" w:rsidRDefault="002A20DC" w:rsidP="004505BB">
            <w:pPr>
              <w:spacing w:line="360" w:lineRule="auto"/>
              <w:ind w:left="0" w:firstLine="0"/>
              <w:jc w:val="left"/>
              <w:rPr>
                <w:rFonts w:cs="Times New Roman"/>
              </w:rPr>
            </w:pPr>
            <w:r w:rsidRPr="00701D59">
              <w:rPr>
                <w:rFonts w:cs="Times New Roman"/>
              </w:rPr>
              <w:t xml:space="preserve"> </w:t>
            </w:r>
          </w:p>
        </w:tc>
      </w:tr>
      <w:tr w:rsidR="002A20DC" w:rsidRPr="00701D59" w:rsidTr="008E1772">
        <w:trPr>
          <w:trHeight w:val="211"/>
        </w:trPr>
        <w:tc>
          <w:tcPr>
            <w:tcW w:w="1810" w:type="dxa"/>
            <w:tcBorders>
              <w:top w:val="nil"/>
              <w:left w:val="nil"/>
              <w:bottom w:val="nil"/>
              <w:right w:val="nil"/>
            </w:tcBorders>
          </w:tcPr>
          <w:p w:rsidR="002A20DC" w:rsidRPr="00701D59" w:rsidRDefault="002A20DC" w:rsidP="004505BB">
            <w:pPr>
              <w:spacing w:line="360" w:lineRule="auto"/>
              <w:ind w:left="0" w:right="239" w:firstLine="0"/>
              <w:jc w:val="right"/>
              <w:rPr>
                <w:rFonts w:cs="Times New Roman"/>
              </w:rPr>
            </w:pPr>
            <w:r w:rsidRPr="00701D59">
              <w:rPr>
                <w:rFonts w:cs="Times New Roman"/>
              </w:rPr>
              <w:t xml:space="preserve">LC = </w:t>
            </w:r>
          </w:p>
        </w:tc>
        <w:tc>
          <w:tcPr>
            <w:tcW w:w="5814" w:type="dxa"/>
            <w:tcBorders>
              <w:top w:val="nil"/>
              <w:left w:val="nil"/>
              <w:bottom w:val="nil"/>
              <w:right w:val="nil"/>
            </w:tcBorders>
          </w:tcPr>
          <w:p w:rsidR="002A20DC" w:rsidRPr="00701D59" w:rsidRDefault="002A20DC" w:rsidP="004505BB">
            <w:pPr>
              <w:spacing w:line="360" w:lineRule="auto"/>
              <w:ind w:left="0" w:firstLine="0"/>
              <w:jc w:val="left"/>
              <w:rPr>
                <w:rFonts w:cs="Times New Roman"/>
              </w:rPr>
            </w:pPr>
            <w:r w:rsidRPr="00701D59">
              <w:rPr>
                <w:rFonts w:cs="Times New Roman"/>
              </w:rPr>
              <w:t xml:space="preserve">ATIVO CIRCULANTE  </w:t>
            </w:r>
          </w:p>
        </w:tc>
        <w:tc>
          <w:tcPr>
            <w:tcW w:w="721" w:type="dxa"/>
            <w:tcBorders>
              <w:top w:val="nil"/>
              <w:left w:val="nil"/>
              <w:bottom w:val="nil"/>
              <w:right w:val="nil"/>
            </w:tcBorders>
          </w:tcPr>
          <w:p w:rsidR="002A20DC" w:rsidRPr="00701D59" w:rsidRDefault="002A20DC" w:rsidP="004505BB">
            <w:pPr>
              <w:spacing w:line="360" w:lineRule="auto"/>
              <w:ind w:left="0" w:firstLine="0"/>
              <w:rPr>
                <w:rFonts w:cs="Times New Roman"/>
              </w:rPr>
            </w:pPr>
            <w:r w:rsidRPr="00701D59">
              <w:rPr>
                <w:rFonts w:cs="Times New Roman"/>
                <w:b/>
              </w:rPr>
              <w:t xml:space="preserve">&gt; 1,00 </w:t>
            </w:r>
          </w:p>
        </w:tc>
      </w:tr>
    </w:tbl>
    <w:p w:rsidR="002A20DC" w:rsidRPr="00701D59" w:rsidRDefault="002A20DC" w:rsidP="004505BB">
      <w:pPr>
        <w:spacing w:after="46" w:line="360" w:lineRule="auto"/>
        <w:ind w:firstLine="0"/>
        <w:jc w:val="left"/>
        <w:rPr>
          <w:rFonts w:cs="Times New Roman"/>
        </w:rPr>
      </w:pPr>
      <w:r w:rsidRPr="00701D59">
        <w:rPr>
          <w:rFonts w:eastAsia="Calibri" w:cs="Times New Roman"/>
          <w:noProof/>
        </w:rPr>
        <mc:AlternateContent>
          <mc:Choice Requires="wpg">
            <w:drawing>
              <wp:anchor distT="0" distB="0" distL="114300" distR="114300" simplePos="0" relativeHeight="251659264" behindDoc="0" locked="0" layoutInCell="1" allowOverlap="1" wp14:anchorId="1439DFB6" wp14:editId="0B47F81A">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990B774" id="Group 52058" o:spid="_x0000_s1026" style="position:absolute;margin-left:113.4pt;margin-top:56.95pt;width:290.6pt;height:.5pt;z-index:251659264" coordsize="369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">
                <v:shape id="Shape 63498" o:spid="_x0000_s1027" style="position:absolute;width:36904;height:91;visibility:visible;mso-wrap-style:square;v-text-anchor:top" coordsize="369049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" path="m,l3690493,r,9144l,9144,,e" fillcolor="black" stroked="f" strokeweight="0">
                  <v:stroke miterlimit="83231f" joinstyle="miter"/>
                  <v:path arrowok="t" textboxrect="0,0,3690493,9144"/>
                </v:shape>
                <w10:wrap type="square"/>
              </v:group>
            </w:pict>
          </mc:Fallback>
        </mc:AlternateContent>
      </w:r>
      <w:r w:rsidRPr="00701D59">
        <w:rPr>
          <w:rFonts w:eastAsia="Calibri" w:cs="Times New Roman"/>
          <w:noProof/>
        </w:rPr>
        <mc:AlternateContent>
          <mc:Choice Requires="wpg">
            <w:drawing>
              <wp:anchor distT="0" distB="0" distL="114300" distR="114300" simplePos="0" relativeHeight="251660288" behindDoc="0" locked="0" layoutInCell="1" allowOverlap="1" wp14:anchorId="6305ACA6" wp14:editId="6BBD46C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123800A" id="Group 52059" o:spid="_x0000_s1026" style="position:absolute;margin-left:113.4pt;margin-top:92.6pt;width:290.6pt;height:.5pt;z-index:251660288" coordsize="369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">
                <v:shape id="Shape 63500" o:spid="_x0000_s1027" style="position:absolute;width:36904;height:91;visibility:visible;mso-wrap-style:square;v-text-anchor:top" coordsize="369049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" path="m,l3690493,r,9144l,9144,,e" fillcolor="black" stroked="f" strokeweight="0">
                  <v:stroke miterlimit="83231f" joinstyle="miter"/>
                  <v:path arrowok="t" textboxrect="0,0,3690493,9144"/>
                </v:shape>
                <w10:wrap type="square"/>
              </v:group>
            </w:pict>
          </mc:Fallback>
        </mc:AlternateContent>
      </w:r>
      <w:r w:rsidR="00C065C6" w:rsidRPr="00701D59">
        <w:rPr>
          <w:rFonts w:cs="Times New Roman"/>
        </w:rPr>
        <w:tab/>
      </w:r>
      <w:r w:rsidR="00C065C6" w:rsidRPr="00701D59">
        <w:rPr>
          <w:rFonts w:cs="Times New Roman"/>
        </w:rPr>
        <w:tab/>
      </w:r>
      <w:r w:rsidR="00C065C6" w:rsidRPr="00701D59">
        <w:rPr>
          <w:rFonts w:cs="Times New Roman"/>
        </w:rPr>
        <w:tab/>
      </w:r>
      <w:r w:rsidR="00C065C6" w:rsidRPr="00701D59">
        <w:rPr>
          <w:rFonts w:cs="Times New Roman"/>
        </w:rPr>
        <w:tab/>
      </w:r>
      <w:r w:rsidR="00C065C6" w:rsidRPr="00701D59">
        <w:rPr>
          <w:rFonts w:cs="Times New Roman"/>
        </w:rPr>
        <w:tab/>
      </w:r>
      <w:r w:rsidR="00C065C6" w:rsidRPr="00701D59">
        <w:rPr>
          <w:rFonts w:cs="Times New Roman"/>
        </w:rPr>
        <w:tab/>
        <w:t>PASIVO CIRCULANTES</w:t>
      </w:r>
      <w:r w:rsidRPr="00701D59">
        <w:rPr>
          <w:rFonts w:cs="Times New Roman"/>
        </w:rPr>
        <w:t xml:space="preserve"> </w:t>
      </w:r>
    </w:p>
    <w:p w:rsidR="002A20DC" w:rsidRPr="00701D59" w:rsidRDefault="00C065C6" w:rsidP="004505BB">
      <w:pPr>
        <w:tabs>
          <w:tab w:val="center" w:pos="1668"/>
          <w:tab w:val="center" w:pos="3520"/>
          <w:tab w:val="center" w:pos="8191"/>
        </w:tabs>
        <w:spacing w:before="56" w:line="360" w:lineRule="auto"/>
        <w:ind w:left="0" w:firstLine="0"/>
        <w:jc w:val="left"/>
        <w:rPr>
          <w:rFonts w:cs="Times New Roman"/>
        </w:rPr>
      </w:pPr>
      <w:r w:rsidRPr="00701D59">
        <w:rPr>
          <w:rFonts w:eastAsia="Calibri" w:cs="Times New Roman"/>
        </w:rPr>
        <w:tab/>
      </w:r>
      <w:r w:rsidR="002A20DC" w:rsidRPr="00701D59">
        <w:rPr>
          <w:rFonts w:eastAsia="Calibri" w:cs="Times New Roman"/>
        </w:rPr>
        <w:tab/>
      </w:r>
      <w:r w:rsidR="002A20DC" w:rsidRPr="00701D59">
        <w:rPr>
          <w:rFonts w:cs="Times New Roman"/>
        </w:rPr>
        <w:t xml:space="preserve"> </w:t>
      </w:r>
      <w:r w:rsidR="002A20DC" w:rsidRPr="00701D59">
        <w:rPr>
          <w:rFonts w:cs="Times New Roman"/>
        </w:rPr>
        <w:tab/>
      </w:r>
      <w:r w:rsidR="002A20DC" w:rsidRPr="00701D59">
        <w:rPr>
          <w:rFonts w:cs="Times New Roman"/>
        </w:rPr>
        <w:tab/>
        <w:t xml:space="preserve"> </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spacing w:line="360" w:lineRule="auto"/>
        <w:ind w:left="552"/>
        <w:rPr>
          <w:rFonts w:cs="Times New Roman"/>
        </w:rPr>
      </w:pPr>
      <w:r w:rsidRPr="00701D59">
        <w:rPr>
          <w:rFonts w:cs="Times New Roman"/>
        </w:rPr>
        <w:t xml:space="preserve">   Observação:  </w:t>
      </w:r>
    </w:p>
    <w:p w:rsidR="002A20DC" w:rsidRPr="00701D59" w:rsidRDefault="002A20DC" w:rsidP="004505BB">
      <w:pPr>
        <w:spacing w:after="18" w:line="360" w:lineRule="auto"/>
        <w:ind w:firstLine="0"/>
        <w:jc w:val="left"/>
        <w:rPr>
          <w:rFonts w:cs="Times New Roman"/>
        </w:rPr>
      </w:pPr>
      <w:r w:rsidRPr="00701D59">
        <w:rPr>
          <w:rFonts w:cs="Times New Roman"/>
        </w:rPr>
        <w:t xml:space="preserve"> </w:t>
      </w:r>
    </w:p>
    <w:p w:rsidR="002A20DC" w:rsidRPr="00701D59" w:rsidRDefault="002A20DC" w:rsidP="004505BB">
      <w:pPr>
        <w:numPr>
          <w:ilvl w:val="3"/>
          <w:numId w:val="7"/>
        </w:numPr>
        <w:spacing w:after="28" w:line="360" w:lineRule="auto"/>
        <w:ind w:right="0" w:hanging="360"/>
        <w:rPr>
          <w:rFonts w:cs="Times New Roman"/>
        </w:rPr>
      </w:pPr>
      <w:proofErr w:type="gramStart"/>
      <w:r w:rsidRPr="00701D59">
        <w:rPr>
          <w:rFonts w:cs="Times New Roman"/>
        </w:rPr>
        <w:t>A(</w:t>
      </w:r>
      <w:proofErr w:type="gramEnd"/>
      <w:r w:rsidRPr="00701D59">
        <w:rPr>
          <w:rFonts w:cs="Times New Roman"/>
        </w:rPr>
        <w:t xml:space="preserve">s) empresa(s) que apresentar(em) resultado igual ou menor do que 1 (um) em qualquer dos índices referidos acima, será considera inabilitada. </w:t>
      </w:r>
    </w:p>
    <w:p w:rsidR="002A20DC" w:rsidRPr="00701D59" w:rsidRDefault="002A20DC" w:rsidP="004505BB">
      <w:pPr>
        <w:numPr>
          <w:ilvl w:val="3"/>
          <w:numId w:val="7"/>
        </w:numPr>
        <w:spacing w:after="4" w:line="360" w:lineRule="auto"/>
        <w:ind w:right="0" w:hanging="360"/>
        <w:rPr>
          <w:rFonts w:cs="Times New Roman"/>
        </w:rPr>
      </w:pPr>
      <w:r w:rsidRPr="00701D59">
        <w:rPr>
          <w:rFonts w:cs="Times New Roman"/>
        </w:rPr>
        <w:t xml:space="preserve">Os índices apresentados pela empresa através de planilha contábil acima mencionada poderão ser a qualquer tempo analisados pela municipalidade, quanto à veracidade, sob risco das sanções cabíveis no Art. 299 do CP.  </w:t>
      </w:r>
    </w:p>
    <w:p w:rsidR="002A20DC" w:rsidRPr="00701D59" w:rsidRDefault="002A20DC" w:rsidP="004505BB">
      <w:pPr>
        <w:spacing w:line="360" w:lineRule="auto"/>
        <w:rPr>
          <w:rFonts w:cs="Times New Roman"/>
        </w:rPr>
      </w:pPr>
    </w:p>
    <w:p w:rsidR="002A20DC" w:rsidRPr="00701D59" w:rsidRDefault="002A20DC" w:rsidP="004505BB">
      <w:pPr>
        <w:spacing w:line="360" w:lineRule="auto"/>
        <w:rPr>
          <w:rFonts w:cs="Times New Roman"/>
          <w:b/>
        </w:rPr>
      </w:pPr>
      <w:r w:rsidRPr="00701D59">
        <w:rPr>
          <w:rFonts w:cs="Times New Roman"/>
          <w:b/>
        </w:rPr>
        <w:t xml:space="preserve">QUALIFICAÇÃO - TÉCNICA </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Certidão de pessoa jurídica emitida pelo órgão responsável; </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Carta de apresentação do Responsável Técnico que se responsabilizará pelos serviços objeto deste Edit</w:t>
      </w:r>
      <w:r w:rsidR="00894771" w:rsidRPr="00701D59">
        <w:rPr>
          <w:rFonts w:cs="Times New Roman"/>
        </w:rPr>
        <w:t>al</w:t>
      </w:r>
      <w:r w:rsidRPr="00701D59">
        <w:rPr>
          <w:rFonts w:cs="Times New Roman"/>
        </w:rPr>
        <w:t xml:space="preserve">; </w:t>
      </w:r>
    </w:p>
    <w:p w:rsidR="002A20DC" w:rsidRPr="00701D59" w:rsidRDefault="002A20DC" w:rsidP="004505BB">
      <w:pPr>
        <w:spacing w:line="360" w:lineRule="auto"/>
        <w:ind w:left="994"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Certidão de pessoa física do profissional responsável técnico da licitante emitida pelo órgão responsável. </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Comprovação do vínculo entre o profissional responsável técnico e a empresa licitante, mediante </w:t>
      </w:r>
      <w:r w:rsidRPr="00701D59">
        <w:rPr>
          <w:rFonts w:cs="Times New Roman"/>
          <w:u w:val="single"/>
        </w:rPr>
        <w:t>apresentação de pelo menos um dos seguintes documentos:</w:t>
      </w:r>
      <w:r w:rsidRPr="00701D59">
        <w:rPr>
          <w:rFonts w:cs="Times New Roman"/>
        </w:rPr>
        <w:t xml:space="preserve">  </w:t>
      </w:r>
    </w:p>
    <w:p w:rsidR="002A20DC" w:rsidRPr="00701D59" w:rsidRDefault="002A20DC" w:rsidP="004505BB">
      <w:pPr>
        <w:pStyle w:val="PargrafodaLista"/>
        <w:spacing w:line="360" w:lineRule="auto"/>
        <w:rPr>
          <w:rFonts w:cs="Times New Roman"/>
        </w:rPr>
      </w:pPr>
    </w:p>
    <w:p w:rsidR="002A20DC" w:rsidRPr="00701D59" w:rsidRDefault="002A20DC" w:rsidP="004505BB">
      <w:pPr>
        <w:spacing w:line="360" w:lineRule="auto"/>
        <w:ind w:left="554" w:firstLine="0"/>
        <w:rPr>
          <w:rFonts w:cs="Times New Roman"/>
        </w:rPr>
      </w:pPr>
    </w:p>
    <w:p w:rsidR="002A20DC" w:rsidRPr="00701D59" w:rsidRDefault="002A20DC" w:rsidP="004505BB">
      <w:pPr>
        <w:numPr>
          <w:ilvl w:val="1"/>
          <w:numId w:val="6"/>
        </w:numPr>
        <w:spacing w:line="360" w:lineRule="auto"/>
        <w:ind w:right="0" w:firstLine="2"/>
        <w:rPr>
          <w:rFonts w:cs="Times New Roman"/>
        </w:rPr>
      </w:pPr>
      <w:r w:rsidRPr="00701D59">
        <w:rPr>
          <w:rFonts w:cs="Times New Roman"/>
        </w:rPr>
        <w:t xml:space="preserve">Cópia da carteira de trabalho (CTPS) do responsável técnico ou do registro de empregado com o respectivo carimbo do Ministério do Trabalho; </w:t>
      </w:r>
    </w:p>
    <w:p w:rsidR="002A20DC" w:rsidRPr="00701D59" w:rsidRDefault="002A20DC" w:rsidP="004505BB">
      <w:pPr>
        <w:numPr>
          <w:ilvl w:val="1"/>
          <w:numId w:val="6"/>
        </w:numPr>
        <w:spacing w:line="360" w:lineRule="auto"/>
        <w:ind w:right="0" w:firstLine="2"/>
        <w:rPr>
          <w:rFonts w:cs="Times New Roman"/>
        </w:rPr>
      </w:pPr>
      <w:r w:rsidRPr="00701D59">
        <w:rPr>
          <w:rFonts w:cs="Times New Roman"/>
        </w:rPr>
        <w:t xml:space="preserve">Contrato social da licitante, do qual conste o responsável técnico como integrante da sociedade; </w:t>
      </w:r>
    </w:p>
    <w:p w:rsidR="002A20DC" w:rsidRPr="00701D59" w:rsidRDefault="002A20DC" w:rsidP="004505BB">
      <w:pPr>
        <w:numPr>
          <w:ilvl w:val="1"/>
          <w:numId w:val="6"/>
        </w:numPr>
        <w:spacing w:after="4" w:line="360" w:lineRule="auto"/>
        <w:ind w:right="0" w:firstLine="2"/>
        <w:rPr>
          <w:rFonts w:cs="Times New Roman"/>
        </w:rPr>
      </w:pPr>
      <w:r w:rsidRPr="00701D59">
        <w:rPr>
          <w:rFonts w:cs="Times New Roman"/>
        </w:rPr>
        <w:t xml:space="preserve">Contrato de prestação de serviços; </w:t>
      </w:r>
    </w:p>
    <w:p w:rsidR="002A20DC" w:rsidRPr="00701D59" w:rsidRDefault="002A20DC" w:rsidP="004505BB">
      <w:pPr>
        <w:spacing w:line="360" w:lineRule="auto"/>
        <w:ind w:left="555"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Comprovação de a </w:t>
      </w:r>
      <w:r w:rsidRPr="00701D59">
        <w:rPr>
          <w:rFonts w:cs="Times New Roman"/>
          <w:b/>
        </w:rPr>
        <w:t>empresa licitante</w:t>
      </w:r>
      <w:r w:rsidRPr="00701D59">
        <w:rPr>
          <w:rFonts w:cs="Times New Roman"/>
        </w:rPr>
        <w:t xml:space="preserve"> ter executado, a qualquer tempo, serviço semelhante e compatível com o objeto desta licitação, </w:t>
      </w:r>
      <w:r w:rsidRPr="00701D59">
        <w:rPr>
          <w:rFonts w:cs="Times New Roman"/>
          <w:u w:val="single" w:color="000000"/>
        </w:rPr>
        <w:t>através de certidão de acervo técnico acompanhado do</w:t>
      </w:r>
      <w:r w:rsidRPr="00701D59">
        <w:rPr>
          <w:rFonts w:cs="Times New Roman"/>
        </w:rPr>
        <w:t xml:space="preserve"> </w:t>
      </w:r>
      <w:r w:rsidRPr="00701D59">
        <w:rPr>
          <w:rFonts w:cs="Times New Roman"/>
          <w:u w:val="single" w:color="000000"/>
        </w:rPr>
        <w:t>respectivo atestado de capacidade técnica</w:t>
      </w:r>
      <w:r w:rsidRPr="00701D59">
        <w:rPr>
          <w:rFonts w:cs="Times New Roman"/>
        </w:rPr>
        <w:t xml:space="preserve">, fornecido por pessoa jurídica de direito público ou privado, devidamente certificado pelo órgão fiscalizador. </w:t>
      </w:r>
    </w:p>
    <w:p w:rsidR="002A20DC" w:rsidRPr="00701D59" w:rsidRDefault="002A20DC" w:rsidP="004505BB">
      <w:pPr>
        <w:spacing w:line="360" w:lineRule="auto"/>
        <w:ind w:left="552" w:firstLine="0"/>
        <w:rPr>
          <w:rFonts w:cs="Times New Roman"/>
        </w:rPr>
      </w:pP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 </w:t>
      </w:r>
      <w:r w:rsidRPr="00701D59">
        <w:rPr>
          <w:rFonts w:cs="Times New Roman"/>
        </w:rPr>
        <w:tab/>
        <w:t xml:space="preserve">Declaração emitida pelo representante legal da empresa licitante, de que irá dispor de equipamentos necessários e suficientes para a execução do objeto. </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Relatório constando a negativa de impedimento de contratação com a Administração Pública, denominado Consulta Consolidada de Pessoa Jurídica, disponível no portal do Tribunal de Contas da União no link </w:t>
      </w:r>
      <w:hyperlink r:id="rId11">
        <w:r w:rsidRPr="00701D59">
          <w:rPr>
            <w:rFonts w:cs="Times New Roman"/>
            <w:color w:val="0000FF"/>
            <w:u w:val="single" w:color="0000FF"/>
          </w:rPr>
          <w:t>https://certidoes</w:t>
        </w:r>
      </w:hyperlink>
      <w:hyperlink r:id="rId12">
        <w:r w:rsidRPr="00701D59">
          <w:rPr>
            <w:rFonts w:cs="Times New Roman"/>
            <w:color w:val="0000FF"/>
            <w:u w:val="single" w:color="0000FF"/>
          </w:rPr>
          <w:t>-</w:t>
        </w:r>
      </w:hyperlink>
      <w:hyperlink r:id="rId13">
        <w:r w:rsidRPr="00701D59">
          <w:rPr>
            <w:rFonts w:cs="Times New Roman"/>
            <w:color w:val="0000FF"/>
            <w:u w:val="single" w:color="0000FF"/>
          </w:rPr>
          <w:t>apf.apps.tcu.gov.br/</w:t>
        </w:r>
      </w:hyperlink>
      <w:hyperlink r:id="rId14">
        <w:r w:rsidRPr="00701D59">
          <w:rPr>
            <w:rFonts w:cs="Times New Roman"/>
          </w:rPr>
          <w:t>.</w:t>
        </w:r>
      </w:hyperlink>
      <w:r w:rsidRPr="00701D59">
        <w:rPr>
          <w:rFonts w:cs="Times New Roman"/>
        </w:rPr>
        <w:t xml:space="preserve"> </w:t>
      </w:r>
    </w:p>
    <w:p w:rsidR="002A20DC" w:rsidRPr="00701D59" w:rsidRDefault="002A20DC" w:rsidP="004505BB">
      <w:pPr>
        <w:spacing w:line="360" w:lineRule="auto"/>
        <w:ind w:left="0" w:firstLine="0"/>
        <w:jc w:val="left"/>
        <w:rPr>
          <w:rFonts w:cs="Times New Roman"/>
        </w:rPr>
      </w:pPr>
      <w:r w:rsidRPr="00701D59">
        <w:rPr>
          <w:rFonts w:cs="Times New Roman"/>
        </w:rPr>
        <w:lastRenderedPageBreak/>
        <w:t xml:space="preserve"> </w:t>
      </w:r>
    </w:p>
    <w:p w:rsidR="002A20DC" w:rsidRPr="00701D59" w:rsidRDefault="002A20DC" w:rsidP="004505BB">
      <w:pPr>
        <w:spacing w:line="360" w:lineRule="auto"/>
        <w:ind w:firstLine="0"/>
        <w:jc w:val="left"/>
        <w:rPr>
          <w:rFonts w:cs="Times New Roman"/>
        </w:rPr>
      </w:pP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Declaração de inexistência de fatos supervenientes e impeditivos de qualificação (§ 2º do artigo 32 da Lei nº 8.666/93). </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 xml:space="preserve">Declaração devidamente assinada de que a proponente aceita, na integralidade, as normas e termos deste Edital; </w:t>
      </w:r>
    </w:p>
    <w:p w:rsidR="002A20DC" w:rsidRPr="00701D59" w:rsidRDefault="002A20DC" w:rsidP="004505BB">
      <w:pPr>
        <w:spacing w:line="360" w:lineRule="auto"/>
        <w:ind w:firstLine="0"/>
        <w:jc w:val="left"/>
        <w:rPr>
          <w:rFonts w:cs="Times New Roman"/>
        </w:rPr>
      </w:pPr>
      <w:r w:rsidRPr="00701D59">
        <w:rPr>
          <w:rFonts w:cs="Times New Roman"/>
        </w:rPr>
        <w:t xml:space="preserve"> </w:t>
      </w:r>
    </w:p>
    <w:p w:rsidR="002A20DC" w:rsidRPr="00701D59" w:rsidRDefault="002A20DC" w:rsidP="004505BB">
      <w:pPr>
        <w:numPr>
          <w:ilvl w:val="0"/>
          <w:numId w:val="6"/>
        </w:numPr>
        <w:spacing w:after="4" w:line="360" w:lineRule="auto"/>
        <w:ind w:right="0" w:firstLine="2"/>
        <w:rPr>
          <w:rFonts w:cs="Times New Roman"/>
        </w:rPr>
      </w:pPr>
      <w:r w:rsidRPr="00701D59">
        <w:rPr>
          <w:rFonts w:cs="Times New Roman"/>
        </w:rPr>
        <w:t>Declaração que não possui em seu quadro de pessoal servidor público d</w:t>
      </w:r>
      <w:r w:rsidR="00894771" w:rsidRPr="00701D59">
        <w:rPr>
          <w:rFonts w:cs="Times New Roman"/>
        </w:rPr>
        <w:t>o Município de Cordilheira Alta.</w:t>
      </w:r>
    </w:p>
    <w:p w:rsidR="009424E1" w:rsidRPr="00701D59" w:rsidRDefault="009424E1" w:rsidP="004505BB">
      <w:pPr>
        <w:spacing w:line="360" w:lineRule="auto"/>
      </w:pPr>
    </w:p>
    <w:p w:rsidR="009424E1" w:rsidRPr="00701D59" w:rsidRDefault="009424E1" w:rsidP="00352505">
      <w:pPr>
        <w:pStyle w:val="Ttulo1"/>
        <w:spacing w:after="5" w:line="249" w:lineRule="auto"/>
        <w:ind w:left="-5" w:right="0"/>
        <w:jc w:val="left"/>
      </w:pPr>
    </w:p>
    <w:p w:rsidR="00352505" w:rsidRPr="00701D59" w:rsidRDefault="002A20DC" w:rsidP="00352505">
      <w:pPr>
        <w:pStyle w:val="Ttulo1"/>
        <w:spacing w:after="5" w:line="249" w:lineRule="auto"/>
        <w:ind w:left="-5" w:right="0"/>
        <w:jc w:val="left"/>
      </w:pPr>
      <w:r w:rsidRPr="00701D59">
        <w:t>I</w:t>
      </w:r>
      <w:r w:rsidR="00352505" w:rsidRPr="00701D59">
        <w:t xml:space="preserve">X – CONCLUSÃO </w:t>
      </w:r>
    </w:p>
    <w:p w:rsidR="00352505" w:rsidRPr="00701D59" w:rsidRDefault="00352505" w:rsidP="00352505"/>
    <w:p w:rsidR="00352505" w:rsidRPr="00701D59" w:rsidRDefault="00352505" w:rsidP="004505BB">
      <w:pPr>
        <w:spacing w:line="360" w:lineRule="auto"/>
        <w:ind w:left="-5" w:right="6"/>
      </w:pPr>
      <w:r w:rsidRPr="00701D59">
        <w:t>Em relação aos preços, verifica-se que os mesmos estão compatív</w:t>
      </w:r>
      <w:r w:rsidR="002A20DC" w:rsidRPr="00701D59">
        <w:t>eis com a realidade do mercado. Em</w:t>
      </w:r>
      <w:r w:rsidR="00894771" w:rsidRPr="00701D59">
        <w:t xml:space="preserve"> relação à </w:t>
      </w:r>
      <w:r w:rsidR="002A20DC" w:rsidRPr="00701D59">
        <w:t>habilitação solicitada</w:t>
      </w:r>
      <w:r w:rsidR="00894771" w:rsidRPr="00701D59">
        <w:t xml:space="preserve">, a mesma com relação aos </w:t>
      </w:r>
      <w:r w:rsidR="002A20DC" w:rsidRPr="00701D59">
        <w:t>editais publicados anteriormente</w:t>
      </w:r>
      <w:r w:rsidR="00894771" w:rsidRPr="00701D59">
        <w:t xml:space="preserve"> e a empresa acima referida, apresentou toda a documentação solicitada, sendo habilitada. Por fim, estando a empresa habilitada e o preço compatível com o praticado no mercado, </w:t>
      </w:r>
      <w:r w:rsidRPr="00701D59">
        <w:t>a Administração</w:t>
      </w:r>
      <w:r w:rsidR="00894771" w:rsidRPr="00701D59">
        <w:t xml:space="preserve"> poderá contratar o objeto em questão</w:t>
      </w:r>
      <w:r w:rsidRPr="00701D59">
        <w:t xml:space="preserve"> sem qualquer afronta à lei de regência dos certames licitatórios. </w:t>
      </w:r>
    </w:p>
    <w:p w:rsidR="001A4E20" w:rsidRPr="00701D59" w:rsidRDefault="001A4E20">
      <w:pPr>
        <w:ind w:left="-5" w:right="8"/>
      </w:pPr>
    </w:p>
    <w:p w:rsidR="001A4E20" w:rsidRPr="00701D59" w:rsidRDefault="00900D42">
      <w:pPr>
        <w:spacing w:line="259" w:lineRule="auto"/>
        <w:ind w:left="0" w:right="0" w:firstLine="0"/>
        <w:jc w:val="left"/>
      </w:pPr>
      <w:r w:rsidRPr="00701D59">
        <w:t xml:space="preserve"> </w:t>
      </w:r>
    </w:p>
    <w:p w:rsidR="001A4E20" w:rsidRPr="00701D59" w:rsidRDefault="00E07221">
      <w:pPr>
        <w:spacing w:line="259" w:lineRule="auto"/>
        <w:ind w:left="0" w:right="12" w:firstLine="0"/>
        <w:jc w:val="right"/>
      </w:pPr>
      <w:r w:rsidRPr="00701D59">
        <w:t xml:space="preserve">Cordilheira Alta/SC, </w:t>
      </w:r>
      <w:r w:rsidR="00C065C6" w:rsidRPr="00701D59">
        <w:t>27</w:t>
      </w:r>
      <w:r w:rsidR="00581958" w:rsidRPr="00701D59">
        <w:rPr>
          <w:color w:val="FF0000"/>
        </w:rPr>
        <w:t xml:space="preserve"> de </w:t>
      </w:r>
      <w:r w:rsidR="00894771" w:rsidRPr="00701D59">
        <w:rPr>
          <w:color w:val="FF0000"/>
        </w:rPr>
        <w:t>outubro</w:t>
      </w:r>
      <w:r w:rsidR="00900D42" w:rsidRPr="00701D59">
        <w:rPr>
          <w:color w:val="FF0000"/>
        </w:rPr>
        <w:t xml:space="preserve"> de 202</w:t>
      </w:r>
      <w:r w:rsidRPr="00701D59">
        <w:rPr>
          <w:color w:val="FF0000"/>
        </w:rPr>
        <w:t>1</w:t>
      </w:r>
      <w:r w:rsidR="00900D42" w:rsidRPr="00701D59">
        <w:rPr>
          <w:color w:val="FF0000"/>
        </w:rPr>
        <w:t xml:space="preserve">. </w:t>
      </w:r>
    </w:p>
    <w:p w:rsidR="001A4E20" w:rsidRPr="00701D59" w:rsidRDefault="00900D42">
      <w:pPr>
        <w:spacing w:line="259" w:lineRule="auto"/>
        <w:ind w:left="0" w:right="0" w:firstLine="0"/>
        <w:jc w:val="left"/>
      </w:pPr>
      <w:r w:rsidRPr="00701D59">
        <w:t xml:space="preserve">  </w:t>
      </w:r>
    </w:p>
    <w:p w:rsidR="00984531" w:rsidRPr="00701D59" w:rsidRDefault="00984531">
      <w:pPr>
        <w:spacing w:line="259" w:lineRule="auto"/>
        <w:ind w:left="0" w:right="0" w:firstLine="0"/>
        <w:jc w:val="left"/>
      </w:pPr>
    </w:p>
    <w:p w:rsidR="00984531" w:rsidRPr="00701D59" w:rsidRDefault="00984531">
      <w:pPr>
        <w:spacing w:line="259" w:lineRule="auto"/>
        <w:ind w:left="0" w:right="0" w:firstLine="0"/>
        <w:jc w:val="left"/>
      </w:pPr>
    </w:p>
    <w:p w:rsidR="00984531" w:rsidRPr="00701D59" w:rsidRDefault="00984531">
      <w:pPr>
        <w:spacing w:line="259" w:lineRule="auto"/>
        <w:ind w:left="0" w:right="0" w:firstLine="0"/>
        <w:jc w:val="left"/>
      </w:pPr>
    </w:p>
    <w:p w:rsidR="00E07221" w:rsidRPr="00701D59" w:rsidRDefault="00E07221" w:rsidP="00E07221">
      <w:pPr>
        <w:spacing w:line="259" w:lineRule="auto"/>
        <w:ind w:left="0" w:firstLine="0"/>
        <w:jc w:val="left"/>
      </w:pPr>
    </w:p>
    <w:p w:rsidR="00E07221" w:rsidRPr="00701D59" w:rsidRDefault="00E07221" w:rsidP="00E07221">
      <w:pPr>
        <w:autoSpaceDE w:val="0"/>
        <w:autoSpaceDN w:val="0"/>
        <w:adjustRightInd w:val="0"/>
        <w:spacing w:after="120"/>
        <w:jc w:val="center"/>
        <w:rPr>
          <w:rFonts w:eastAsia="Calibri" w:cs="BookmanOldStyle-Bold"/>
          <w:b/>
          <w:bCs/>
          <w:lang w:eastAsia="en-US"/>
        </w:rPr>
      </w:pPr>
    </w:p>
    <w:p w:rsidR="00984531" w:rsidRPr="00701D59" w:rsidRDefault="00C065C6" w:rsidP="00E07221">
      <w:pPr>
        <w:autoSpaceDE w:val="0"/>
        <w:autoSpaceDN w:val="0"/>
        <w:adjustRightInd w:val="0"/>
        <w:spacing w:after="120"/>
        <w:jc w:val="center"/>
        <w:rPr>
          <w:rFonts w:eastAsia="Calibri" w:cs="BookmanOldStyle-Bold"/>
          <w:b/>
          <w:bCs/>
          <w:lang w:eastAsia="en-US"/>
        </w:rPr>
      </w:pPr>
      <w:r w:rsidRPr="00701D59">
        <w:rPr>
          <w:rFonts w:eastAsia="Calibri" w:cs="BookmanOldStyle-Bold"/>
          <w:b/>
          <w:bCs/>
          <w:lang w:eastAsia="en-US"/>
        </w:rPr>
        <w:t>_____________________________________</w:t>
      </w:r>
    </w:p>
    <w:p w:rsidR="00E07221" w:rsidRPr="00701D59" w:rsidRDefault="00BC713C" w:rsidP="00E07221">
      <w:pPr>
        <w:autoSpaceDE w:val="0"/>
        <w:autoSpaceDN w:val="0"/>
        <w:adjustRightInd w:val="0"/>
        <w:spacing w:after="120"/>
        <w:jc w:val="center"/>
        <w:rPr>
          <w:rFonts w:eastAsia="Calibri" w:cs="BookmanOldStyle-Bold"/>
          <w:b/>
          <w:bCs/>
          <w:lang w:eastAsia="en-US"/>
        </w:rPr>
      </w:pPr>
      <w:r w:rsidRPr="00701D59">
        <w:rPr>
          <w:rFonts w:eastAsia="Calibri" w:cs="BookmanOldStyle-Bold"/>
          <w:b/>
          <w:bCs/>
          <w:lang w:eastAsia="en-US"/>
        </w:rPr>
        <w:t>EMERSON VERDI</w:t>
      </w:r>
    </w:p>
    <w:p w:rsidR="00E07221" w:rsidRPr="00701D59" w:rsidRDefault="00BC713C" w:rsidP="00E07221">
      <w:pPr>
        <w:autoSpaceDE w:val="0"/>
        <w:autoSpaceDN w:val="0"/>
        <w:adjustRightInd w:val="0"/>
        <w:spacing w:after="120"/>
        <w:jc w:val="center"/>
        <w:rPr>
          <w:rFonts w:eastAsia="Calibri" w:cs="BookmanOldStyle"/>
          <w:lang w:eastAsia="en-US"/>
        </w:rPr>
      </w:pPr>
      <w:r w:rsidRPr="00701D59">
        <w:rPr>
          <w:rFonts w:eastAsia="Calibri" w:cs="BookmanOldStyle"/>
          <w:lang w:eastAsia="en-US"/>
        </w:rPr>
        <w:t>Presidente</w:t>
      </w:r>
      <w:r w:rsidR="00E07221" w:rsidRPr="00701D59">
        <w:rPr>
          <w:rFonts w:eastAsia="Calibri" w:cs="BookmanOldStyle"/>
          <w:lang w:eastAsia="en-US"/>
        </w:rPr>
        <w:t xml:space="preserve"> da Comissão Permanente de Licitações</w:t>
      </w:r>
    </w:p>
    <w:p w:rsidR="004C2687" w:rsidRPr="00701D59" w:rsidRDefault="004C2687" w:rsidP="004C2687">
      <w:pPr>
        <w:autoSpaceDE w:val="0"/>
        <w:autoSpaceDN w:val="0"/>
        <w:adjustRightInd w:val="0"/>
        <w:jc w:val="center"/>
        <w:rPr>
          <w:b/>
          <w:bCs/>
        </w:rPr>
      </w:pPr>
    </w:p>
    <w:p w:rsidR="00984531" w:rsidRPr="00701D59" w:rsidRDefault="00984531" w:rsidP="004C2687">
      <w:pPr>
        <w:autoSpaceDE w:val="0"/>
        <w:autoSpaceDN w:val="0"/>
        <w:adjustRightInd w:val="0"/>
        <w:jc w:val="center"/>
        <w:rPr>
          <w:b/>
          <w:bCs/>
        </w:rPr>
      </w:pPr>
      <w:bookmarkStart w:id="0" w:name="_GoBack"/>
      <w:bookmarkEnd w:id="0"/>
    </w:p>
    <w:sectPr w:rsidR="00984531" w:rsidRPr="00701D59">
      <w:headerReference w:type="default" r:id="rId15"/>
      <w:footerReference w:type="default" r:id="rId16"/>
      <w:pgSz w:w="11906" w:h="16841"/>
      <w:pgMar w:top="679" w:right="1115" w:bottom="463"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2A8" w:rsidRDefault="008D22A8" w:rsidP="00E07221">
      <w:pPr>
        <w:spacing w:line="240" w:lineRule="auto"/>
      </w:pPr>
      <w:r>
        <w:separator/>
      </w:r>
    </w:p>
  </w:endnote>
  <w:endnote w:type="continuationSeparator" w:id="0">
    <w:p w:rsidR="008D22A8" w:rsidRDefault="008D22A8" w:rsidP="00E072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OldStyle-Bold">
    <w:panose1 w:val="00000000000000000000"/>
    <w:charset w:val="00"/>
    <w:family w:val="swiss"/>
    <w:notTrueType/>
    <w:pitch w:val="default"/>
    <w:sig w:usb0="00000003" w:usb1="00000000" w:usb2="00000000" w:usb3="00000000" w:csb0="00000001" w:csb1="00000000"/>
  </w:font>
  <w:font w:name="BookmanOldStyle">
    <w:altName w:val="MS Gothic"/>
    <w:panose1 w:val="00000000000000000000"/>
    <w:charset w:val="00"/>
    <w:family w:val="swiss"/>
    <w:notTrueType/>
    <w:pitch w:val="default"/>
    <w:sig w:usb0="00000000"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221" w:rsidRDefault="00E07221" w:rsidP="00E07221">
    <w:pPr>
      <w:spacing w:line="277" w:lineRule="auto"/>
      <w:ind w:left="3569" w:right="-6" w:hanging="2919"/>
      <w:jc w:val="left"/>
    </w:pPr>
    <w:r>
      <w:rPr>
        <w:b/>
        <w:sz w:val="16"/>
      </w:rPr>
      <w:t xml:space="preserve">RUA CELSO TOZZO, 27 CEP: 89.819-000 – FONE: (49) 3358-9100 – CORDILHEIRA ALTA – SC </w:t>
    </w:r>
    <w:r>
      <w:rPr>
        <w:b/>
        <w:sz w:val="16"/>
      </w:rPr>
      <w:tab/>
    </w:r>
    <w:r>
      <w:rPr>
        <w:rFonts w:ascii="Arial" w:eastAsia="Arial" w:hAnsi="Arial" w:cs="Arial"/>
        <w:sz w:val="20"/>
      </w:rPr>
      <w:t xml:space="preserve">1 </w:t>
    </w:r>
    <w:r>
      <w:rPr>
        <w:b/>
        <w:sz w:val="16"/>
      </w:rPr>
      <w:t xml:space="preserve">www.pmcordi.sc.gov.br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2A8" w:rsidRDefault="008D22A8" w:rsidP="00E07221">
      <w:pPr>
        <w:spacing w:line="240" w:lineRule="auto"/>
      </w:pPr>
      <w:r>
        <w:separator/>
      </w:r>
    </w:p>
  </w:footnote>
  <w:footnote w:type="continuationSeparator" w:id="0">
    <w:p w:rsidR="008D22A8" w:rsidRDefault="008D22A8" w:rsidP="00E072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221" w:rsidRDefault="00E07221" w:rsidP="00E07221">
    <w:pPr>
      <w:pStyle w:val="Cabealho"/>
      <w:jc w:val="center"/>
    </w:pPr>
    <w:r>
      <w:rPr>
        <w:noProof/>
      </w:rPr>
      <w:drawing>
        <wp:inline distT="0" distB="0" distL="0" distR="0" wp14:anchorId="1A509FB8" wp14:editId="220C233F">
          <wp:extent cx="4584065" cy="771525"/>
          <wp:effectExtent l="0" t="0" r="0" b="0"/>
          <wp:docPr id="202" name="Picture 202"/>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1"/>
                  <a:stretch>
                    <a:fillRect/>
                  </a:stretch>
                </pic:blipFill>
                <pic:spPr>
                  <a:xfrm>
                    <a:off x="0" y="0"/>
                    <a:ext cx="4584065" cy="7715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3C1521BE"/>
    <w:multiLevelType w:val="hybridMultilevel"/>
    <w:tmpl w:val="425C2EF4"/>
    <w:lvl w:ilvl="0" w:tplc="0416000F">
      <w:start w:val="1"/>
      <w:numFmt w:val="decimal"/>
      <w:lvlText w:val="%1."/>
      <w:lvlJc w:val="left"/>
      <w:pPr>
        <w:ind w:left="2309" w:hanging="360"/>
      </w:pPr>
    </w:lvl>
    <w:lvl w:ilvl="1" w:tplc="04160019" w:tentative="1">
      <w:start w:val="1"/>
      <w:numFmt w:val="lowerLetter"/>
      <w:lvlText w:val="%2."/>
      <w:lvlJc w:val="left"/>
      <w:pPr>
        <w:ind w:left="3029" w:hanging="360"/>
      </w:pPr>
    </w:lvl>
    <w:lvl w:ilvl="2" w:tplc="0416001B" w:tentative="1">
      <w:start w:val="1"/>
      <w:numFmt w:val="lowerRoman"/>
      <w:lvlText w:val="%3."/>
      <w:lvlJc w:val="right"/>
      <w:pPr>
        <w:ind w:left="3749" w:hanging="180"/>
      </w:pPr>
    </w:lvl>
    <w:lvl w:ilvl="3" w:tplc="0416000F" w:tentative="1">
      <w:start w:val="1"/>
      <w:numFmt w:val="decimal"/>
      <w:lvlText w:val="%4."/>
      <w:lvlJc w:val="left"/>
      <w:pPr>
        <w:ind w:left="4469" w:hanging="360"/>
      </w:pPr>
    </w:lvl>
    <w:lvl w:ilvl="4" w:tplc="04160019" w:tentative="1">
      <w:start w:val="1"/>
      <w:numFmt w:val="lowerLetter"/>
      <w:lvlText w:val="%5."/>
      <w:lvlJc w:val="left"/>
      <w:pPr>
        <w:ind w:left="5189" w:hanging="360"/>
      </w:pPr>
    </w:lvl>
    <w:lvl w:ilvl="5" w:tplc="0416001B" w:tentative="1">
      <w:start w:val="1"/>
      <w:numFmt w:val="lowerRoman"/>
      <w:lvlText w:val="%6."/>
      <w:lvlJc w:val="right"/>
      <w:pPr>
        <w:ind w:left="5909" w:hanging="180"/>
      </w:pPr>
    </w:lvl>
    <w:lvl w:ilvl="6" w:tplc="0416000F" w:tentative="1">
      <w:start w:val="1"/>
      <w:numFmt w:val="decimal"/>
      <w:lvlText w:val="%7."/>
      <w:lvlJc w:val="left"/>
      <w:pPr>
        <w:ind w:left="6629" w:hanging="360"/>
      </w:pPr>
    </w:lvl>
    <w:lvl w:ilvl="7" w:tplc="04160019" w:tentative="1">
      <w:start w:val="1"/>
      <w:numFmt w:val="lowerLetter"/>
      <w:lvlText w:val="%8."/>
      <w:lvlJc w:val="left"/>
      <w:pPr>
        <w:ind w:left="7349" w:hanging="360"/>
      </w:pPr>
    </w:lvl>
    <w:lvl w:ilvl="8" w:tplc="0416001B" w:tentative="1">
      <w:start w:val="1"/>
      <w:numFmt w:val="lowerRoman"/>
      <w:lvlText w:val="%9."/>
      <w:lvlJc w:val="right"/>
      <w:pPr>
        <w:ind w:left="8069" w:hanging="180"/>
      </w:pPr>
    </w:lvl>
  </w:abstractNum>
  <w:abstractNum w:abstractNumId="2" w15:restartNumberingAfterBreak="0">
    <w:nsid w:val="40A549E3"/>
    <w:multiLevelType w:val="hybridMultilevel"/>
    <w:tmpl w:val="994A5382"/>
    <w:lvl w:ilvl="0" w:tplc="F7B6B17E">
      <w:start w:val="4"/>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A16674E0">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1A62AC50">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28A6D612">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23F48D40">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7D36E3D8">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8C7269DA">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64743E36">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94ADF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B7D3402"/>
    <w:multiLevelType w:val="hybridMultilevel"/>
    <w:tmpl w:val="D2627C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4CF93675"/>
    <w:multiLevelType w:val="hybridMultilevel"/>
    <w:tmpl w:val="B300B3D6"/>
    <w:lvl w:ilvl="0" w:tplc="98EABA28">
      <w:start w:val="1"/>
      <w:numFmt w:val="upperRoman"/>
      <w:lvlText w:val="%1"/>
      <w:lvlJc w:val="left"/>
      <w:pPr>
        <w:ind w:left="4229"/>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1" w:tplc="265E4B16">
      <w:start w:val="1"/>
      <w:numFmt w:val="lowerLetter"/>
      <w:lvlText w:val="%2"/>
      <w:lvlJc w:val="left"/>
      <w:pPr>
        <w:ind w:left="50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2" w:tplc="111491AE">
      <w:start w:val="1"/>
      <w:numFmt w:val="lowerRoman"/>
      <w:lvlText w:val="%3"/>
      <w:lvlJc w:val="left"/>
      <w:pPr>
        <w:ind w:left="57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3" w:tplc="64466850">
      <w:start w:val="1"/>
      <w:numFmt w:val="decimal"/>
      <w:lvlText w:val="%4"/>
      <w:lvlJc w:val="left"/>
      <w:pPr>
        <w:ind w:left="64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4" w:tplc="1BE46934">
      <w:start w:val="1"/>
      <w:numFmt w:val="lowerLetter"/>
      <w:lvlText w:val="%5"/>
      <w:lvlJc w:val="left"/>
      <w:pPr>
        <w:ind w:left="721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5" w:tplc="86448228">
      <w:start w:val="1"/>
      <w:numFmt w:val="lowerRoman"/>
      <w:lvlText w:val="%6"/>
      <w:lvlJc w:val="left"/>
      <w:pPr>
        <w:ind w:left="793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6" w:tplc="9BB60BD6">
      <w:start w:val="1"/>
      <w:numFmt w:val="decimal"/>
      <w:lvlText w:val="%7"/>
      <w:lvlJc w:val="left"/>
      <w:pPr>
        <w:ind w:left="86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7" w:tplc="838ADE34">
      <w:start w:val="1"/>
      <w:numFmt w:val="lowerLetter"/>
      <w:lvlText w:val="%8"/>
      <w:lvlJc w:val="left"/>
      <w:pPr>
        <w:ind w:left="93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8" w:tplc="1A5CA03C">
      <w:start w:val="1"/>
      <w:numFmt w:val="lowerRoman"/>
      <w:lvlText w:val="%9"/>
      <w:lvlJc w:val="left"/>
      <w:pPr>
        <w:ind w:left="100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D091F80"/>
    <w:multiLevelType w:val="hybridMultilevel"/>
    <w:tmpl w:val="6CBC05A0"/>
    <w:lvl w:ilvl="0" w:tplc="452E7924">
      <w:start w:val="1"/>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F3362098">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B078751E">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9B64BD30">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6130F3F6">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EA6CB670">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615EDF00">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91167A94">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EFD8C6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num w:numId="1">
    <w:abstractNumId w:val="5"/>
  </w:num>
  <w:num w:numId="2">
    <w:abstractNumId w:val="6"/>
  </w:num>
  <w:num w:numId="3">
    <w:abstractNumId w:val="2"/>
  </w:num>
  <w:num w:numId="4">
    <w:abstractNumId w:val="1"/>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E20"/>
    <w:rsid w:val="000218BF"/>
    <w:rsid w:val="0005390A"/>
    <w:rsid w:val="000D3CBD"/>
    <w:rsid w:val="000F24CF"/>
    <w:rsid w:val="0011271E"/>
    <w:rsid w:val="00136531"/>
    <w:rsid w:val="001A4E20"/>
    <w:rsid w:val="001D6B5F"/>
    <w:rsid w:val="001E0424"/>
    <w:rsid w:val="001E6BC7"/>
    <w:rsid w:val="001F3CD1"/>
    <w:rsid w:val="00260E88"/>
    <w:rsid w:val="002A20DC"/>
    <w:rsid w:val="002A6D29"/>
    <w:rsid w:val="002A7650"/>
    <w:rsid w:val="00316AF0"/>
    <w:rsid w:val="00352505"/>
    <w:rsid w:val="003B5FC8"/>
    <w:rsid w:val="003F5137"/>
    <w:rsid w:val="004505BB"/>
    <w:rsid w:val="00482002"/>
    <w:rsid w:val="00495D17"/>
    <w:rsid w:val="004C2687"/>
    <w:rsid w:val="004C7028"/>
    <w:rsid w:val="00500DA4"/>
    <w:rsid w:val="00530EA9"/>
    <w:rsid w:val="00537A99"/>
    <w:rsid w:val="00581958"/>
    <w:rsid w:val="005925E0"/>
    <w:rsid w:val="005C3E28"/>
    <w:rsid w:val="005D3653"/>
    <w:rsid w:val="00625AC3"/>
    <w:rsid w:val="00650E2C"/>
    <w:rsid w:val="00664EC9"/>
    <w:rsid w:val="00670BEF"/>
    <w:rsid w:val="006738D8"/>
    <w:rsid w:val="00673A1C"/>
    <w:rsid w:val="006B23C9"/>
    <w:rsid w:val="00701D59"/>
    <w:rsid w:val="00736AFF"/>
    <w:rsid w:val="00744141"/>
    <w:rsid w:val="007444BF"/>
    <w:rsid w:val="00746489"/>
    <w:rsid w:val="007D59B1"/>
    <w:rsid w:val="00803778"/>
    <w:rsid w:val="00804747"/>
    <w:rsid w:val="00877ED2"/>
    <w:rsid w:val="00894771"/>
    <w:rsid w:val="008C11F0"/>
    <w:rsid w:val="008D22A8"/>
    <w:rsid w:val="008E68CC"/>
    <w:rsid w:val="00900D42"/>
    <w:rsid w:val="00916AEA"/>
    <w:rsid w:val="009424E1"/>
    <w:rsid w:val="00971070"/>
    <w:rsid w:val="00984531"/>
    <w:rsid w:val="00990F7A"/>
    <w:rsid w:val="009A2758"/>
    <w:rsid w:val="00A247F8"/>
    <w:rsid w:val="00A31553"/>
    <w:rsid w:val="00A92458"/>
    <w:rsid w:val="00AE3F8F"/>
    <w:rsid w:val="00AF52C9"/>
    <w:rsid w:val="00B57152"/>
    <w:rsid w:val="00B81110"/>
    <w:rsid w:val="00BC713C"/>
    <w:rsid w:val="00BD59E4"/>
    <w:rsid w:val="00BF1874"/>
    <w:rsid w:val="00C00AAE"/>
    <w:rsid w:val="00C065C6"/>
    <w:rsid w:val="00CB4281"/>
    <w:rsid w:val="00CC6685"/>
    <w:rsid w:val="00CD53E9"/>
    <w:rsid w:val="00D07EED"/>
    <w:rsid w:val="00D668EA"/>
    <w:rsid w:val="00E07221"/>
    <w:rsid w:val="00E26E3B"/>
    <w:rsid w:val="00E41C18"/>
    <w:rsid w:val="00E43117"/>
    <w:rsid w:val="00E64045"/>
    <w:rsid w:val="00E94AA2"/>
    <w:rsid w:val="00EB6244"/>
    <w:rsid w:val="00EF3947"/>
    <w:rsid w:val="00F4403F"/>
    <w:rsid w:val="00FD3F4E"/>
    <w:rsid w:val="00FE4D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944B12-1CA5-4C46-AAA9-45CD5E60D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8" w:lineRule="auto"/>
      <w:ind w:left="10" w:right="18" w:hanging="10"/>
      <w:jc w:val="both"/>
    </w:pPr>
    <w:rPr>
      <w:rFonts w:ascii="Bookman Old Style" w:eastAsia="Bookman Old Style" w:hAnsi="Bookman Old Style" w:cs="Bookman Old Style"/>
      <w:color w:val="000000"/>
    </w:rPr>
  </w:style>
  <w:style w:type="paragraph" w:styleId="Ttulo1">
    <w:name w:val="heading 1"/>
    <w:next w:val="Normal"/>
    <w:link w:val="Ttulo1Char"/>
    <w:uiPriority w:val="9"/>
    <w:unhideWhenUsed/>
    <w:qFormat/>
    <w:pPr>
      <w:keepNext/>
      <w:keepLines/>
      <w:spacing w:after="0"/>
      <w:ind w:left="10" w:right="19" w:hanging="10"/>
      <w:jc w:val="center"/>
      <w:outlineLvl w:val="0"/>
    </w:pPr>
    <w:rPr>
      <w:rFonts w:ascii="Bookman Old Style" w:eastAsia="Bookman Old Style" w:hAnsi="Bookman Old Style" w:cs="Bookman Old Style"/>
      <w:b/>
      <w:color w:val="000000"/>
    </w:rPr>
  </w:style>
  <w:style w:type="paragraph" w:styleId="Ttulo2">
    <w:name w:val="heading 2"/>
    <w:basedOn w:val="Normal"/>
    <w:next w:val="Normal"/>
    <w:link w:val="Ttulo2Char"/>
    <w:uiPriority w:val="9"/>
    <w:semiHidden/>
    <w:unhideWhenUsed/>
    <w:qFormat/>
    <w:rsid w:val="002A20D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2"/>
    </w:rPr>
  </w:style>
  <w:style w:type="paragraph" w:styleId="Corpodetexto3">
    <w:name w:val="Body Text 3"/>
    <w:basedOn w:val="Normal"/>
    <w:link w:val="Corpodetexto3Char"/>
    <w:rsid w:val="00900D42"/>
    <w:pPr>
      <w:spacing w:line="240" w:lineRule="auto"/>
      <w:ind w:left="0" w:right="0" w:firstLine="0"/>
    </w:pPr>
    <w:rPr>
      <w:rFonts w:ascii="Times New Roman" w:eastAsia="Times New Roman" w:hAnsi="Times New Roman" w:cs="Times New Roman"/>
      <w:color w:val="auto"/>
      <w:sz w:val="24"/>
      <w:szCs w:val="20"/>
      <w:lang w:val="x-none" w:eastAsia="x-none"/>
    </w:rPr>
  </w:style>
  <w:style w:type="character" w:customStyle="1" w:styleId="Corpodetexto3Char">
    <w:name w:val="Corpo de texto 3 Char"/>
    <w:basedOn w:val="Fontepargpadro"/>
    <w:link w:val="Corpodetexto3"/>
    <w:rsid w:val="00900D42"/>
    <w:rPr>
      <w:rFonts w:ascii="Times New Roman" w:eastAsia="Times New Roman" w:hAnsi="Times New Roman" w:cs="Times New Roman"/>
      <w:sz w:val="24"/>
      <w:szCs w:val="20"/>
      <w:lang w:val="x-none" w:eastAsia="x-none"/>
    </w:rPr>
  </w:style>
  <w:style w:type="paragraph" w:customStyle="1" w:styleId="Default">
    <w:name w:val="Default"/>
    <w:rsid w:val="00900D42"/>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abealho">
    <w:name w:val="header"/>
    <w:basedOn w:val="Normal"/>
    <w:link w:val="CabealhoChar"/>
    <w:uiPriority w:val="99"/>
    <w:unhideWhenUsed/>
    <w:rsid w:val="00E07221"/>
    <w:pPr>
      <w:tabs>
        <w:tab w:val="center" w:pos="4252"/>
        <w:tab w:val="right" w:pos="8504"/>
      </w:tabs>
      <w:spacing w:line="240" w:lineRule="auto"/>
    </w:pPr>
  </w:style>
  <w:style w:type="character" w:customStyle="1" w:styleId="CabealhoChar">
    <w:name w:val="Cabeçalho Char"/>
    <w:basedOn w:val="Fontepargpadro"/>
    <w:link w:val="Cabealho"/>
    <w:uiPriority w:val="99"/>
    <w:rsid w:val="00E07221"/>
    <w:rPr>
      <w:rFonts w:ascii="Bookman Old Style" w:eastAsia="Bookman Old Style" w:hAnsi="Bookman Old Style" w:cs="Bookman Old Style"/>
      <w:color w:val="000000"/>
    </w:rPr>
  </w:style>
  <w:style w:type="paragraph" w:styleId="Rodap">
    <w:name w:val="footer"/>
    <w:basedOn w:val="Normal"/>
    <w:link w:val="RodapChar"/>
    <w:uiPriority w:val="99"/>
    <w:unhideWhenUsed/>
    <w:rsid w:val="00E07221"/>
    <w:pPr>
      <w:tabs>
        <w:tab w:val="center" w:pos="4252"/>
        <w:tab w:val="right" w:pos="8504"/>
      </w:tabs>
      <w:spacing w:line="240" w:lineRule="auto"/>
    </w:pPr>
  </w:style>
  <w:style w:type="character" w:customStyle="1" w:styleId="RodapChar">
    <w:name w:val="Rodapé Char"/>
    <w:basedOn w:val="Fontepargpadro"/>
    <w:link w:val="Rodap"/>
    <w:uiPriority w:val="99"/>
    <w:rsid w:val="00E07221"/>
    <w:rPr>
      <w:rFonts w:ascii="Bookman Old Style" w:eastAsia="Bookman Old Style" w:hAnsi="Bookman Old Style" w:cs="Bookman Old Style"/>
      <w:color w:val="000000"/>
    </w:rPr>
  </w:style>
  <w:style w:type="paragraph" w:styleId="Textodebalo">
    <w:name w:val="Balloon Text"/>
    <w:basedOn w:val="Normal"/>
    <w:link w:val="TextodebaloChar"/>
    <w:uiPriority w:val="99"/>
    <w:semiHidden/>
    <w:unhideWhenUsed/>
    <w:rsid w:val="0011271E"/>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1271E"/>
    <w:rPr>
      <w:rFonts w:ascii="Segoe UI" w:eastAsia="Bookman Old Style" w:hAnsi="Segoe UI" w:cs="Segoe UI"/>
      <w:color w:val="000000"/>
      <w:sz w:val="18"/>
      <w:szCs w:val="18"/>
    </w:rPr>
  </w:style>
  <w:style w:type="paragraph" w:styleId="PargrafodaLista">
    <w:name w:val="List Paragraph"/>
    <w:basedOn w:val="Normal"/>
    <w:uiPriority w:val="34"/>
    <w:qFormat/>
    <w:rsid w:val="00A247F8"/>
    <w:pPr>
      <w:ind w:left="720"/>
      <w:contextualSpacing/>
    </w:pPr>
  </w:style>
  <w:style w:type="character" w:customStyle="1" w:styleId="Ttulo2Char">
    <w:name w:val="Título 2 Char"/>
    <w:basedOn w:val="Fontepargpadro"/>
    <w:link w:val="Ttulo2"/>
    <w:uiPriority w:val="9"/>
    <w:semiHidden/>
    <w:rsid w:val="002A20DC"/>
    <w:rPr>
      <w:rFonts w:asciiTheme="majorHAnsi" w:eastAsiaTheme="majorEastAsia" w:hAnsiTheme="majorHAnsi" w:cstheme="majorBidi"/>
      <w:color w:val="2E74B5" w:themeColor="accent1" w:themeShade="BF"/>
      <w:sz w:val="26"/>
      <w:szCs w:val="26"/>
    </w:rPr>
  </w:style>
  <w:style w:type="table" w:customStyle="1" w:styleId="TableGrid">
    <w:name w:val="TableGrid"/>
    <w:rsid w:val="002A20DC"/>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5916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aj.tjsc.jus.br/sco/abrirCadastro.do" TargetMode="External"/><Relationship Id="rId13" Type="http://schemas.openxmlformats.org/officeDocument/2006/relationships/hyperlink" Target="https://certidoes-apf.apps.tcu.gov.b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saj.tjsc.jus.br/sco/abrirCadastro.do" TargetMode="External"/><Relationship Id="rId12" Type="http://schemas.openxmlformats.org/officeDocument/2006/relationships/hyperlink" Target="https://certidoes-apf.apps.tcu.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idoes-apf.apps.tcu.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certeproc1g.tjsc.jus.br/" TargetMode="External"/><Relationship Id="rId4" Type="http://schemas.openxmlformats.org/officeDocument/2006/relationships/webSettings" Target="webSettings.xml"/><Relationship Id="rId9" Type="http://schemas.openxmlformats.org/officeDocument/2006/relationships/hyperlink" Target="https://certeproc1g.tjsc.jus.br/" TargetMode="External"/><Relationship Id="rId14" Type="http://schemas.openxmlformats.org/officeDocument/2006/relationships/hyperlink" Target="https://certidoes-apf.apps.tcu.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434</TotalTime>
  <Pages>7</Pages>
  <Words>1843</Words>
  <Characters>9955</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PARECER Nº563</vt:lpstr>
    </vt:vector>
  </TitlesOfParts>
  <Company/>
  <LinksUpToDate>false</LinksUpToDate>
  <CharactersWithSpaces>11775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PARECER Nº563</dc:title>
  <dc:subject/>
  <dc:creator>SETOR 0000X</dc:creator>
  <cp:keywords/>
  <cp:lastModifiedBy>Usuário do Windows</cp:lastModifiedBy>
  <cp:revision>45</cp:revision>
  <cp:lastPrinted>2021-01-29T13:12:00Z</cp:lastPrinted>
  <dcterms:created xsi:type="dcterms:W3CDTF">2021-01-22T11:14:00Z</dcterms:created>
  <dcterms:modified xsi:type="dcterms:W3CDTF">2021-10-27T14:24:00Z</dcterms:modified>
</cp:coreProperties>
</file>