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bookmarkStart w:id="0" w:name="_GoBack"/>
      <w:bookmarkEnd w:id="0"/>
      <w:r w:rsidRPr="001C0AE1">
        <w:rPr>
          <w:rFonts w:ascii="Times New Roman" w:hAnsi="Times New Roman" w:cs="Times New Roman"/>
          <w:b/>
          <w:sz w:val="22"/>
        </w:rPr>
        <w:t xml:space="preserve">PROCESSO LICITATÓRIO Nº </w:t>
      </w:r>
      <w:r w:rsidR="003D1996">
        <w:rPr>
          <w:rFonts w:ascii="Times New Roman" w:hAnsi="Times New Roman" w:cs="Times New Roman"/>
          <w:b/>
          <w:color w:val="FF0000"/>
          <w:sz w:val="22"/>
        </w:rPr>
        <w:t>176</w:t>
      </w:r>
      <w:r w:rsidR="008A5B5E" w:rsidRPr="00510231">
        <w:rPr>
          <w:rFonts w:ascii="Times New Roman" w:hAnsi="Times New Roman" w:cs="Times New Roman"/>
          <w:b/>
          <w:color w:val="FF0000"/>
          <w:sz w:val="22"/>
        </w:rPr>
        <w:t>/2021</w:t>
      </w:r>
      <w:r w:rsidRPr="00510231">
        <w:rPr>
          <w:rFonts w:ascii="Times New Roman" w:hAnsi="Times New Roman" w:cs="Times New Roman"/>
          <w:b/>
          <w:color w:val="FF0000"/>
          <w:sz w:val="22"/>
        </w:rPr>
        <w:t xml:space="preserve"> </w:t>
      </w:r>
    </w:p>
    <w:p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3D1996">
        <w:rPr>
          <w:rFonts w:ascii="Times New Roman" w:hAnsi="Times New Roman" w:cs="Times New Roman"/>
          <w:b/>
          <w:color w:val="FF0000"/>
          <w:sz w:val="22"/>
        </w:rPr>
        <w:t>71</w:t>
      </w:r>
      <w:r w:rsidR="008A5B5E" w:rsidRPr="00510231">
        <w:rPr>
          <w:rFonts w:ascii="Times New Roman" w:hAnsi="Times New Roman" w:cs="Times New Roman"/>
          <w:b/>
          <w:color w:val="FF0000"/>
          <w:sz w:val="22"/>
        </w:rPr>
        <w:t>/2021</w:t>
      </w:r>
    </w:p>
    <w:p w:rsidR="00432387" w:rsidRPr="00432387" w:rsidRDefault="00432387" w:rsidP="00432387">
      <w:pPr>
        <w:spacing w:after="0" w:line="240" w:lineRule="auto"/>
        <w:ind w:left="345" w:right="159" w:firstLine="81"/>
        <w:jc w:val="center"/>
        <w:rPr>
          <w:rFonts w:ascii="Times New Roman" w:hAnsi="Times New Roman" w:cs="Times New Roman"/>
          <w:b/>
          <w:sz w:val="22"/>
        </w:rPr>
      </w:pPr>
      <w:r w:rsidRPr="00432387">
        <w:rPr>
          <w:rFonts w:ascii="Times New Roman" w:hAnsi="Times New Roman" w:cs="Times New Roman"/>
          <w:b/>
          <w:sz w:val="22"/>
        </w:rPr>
        <w:t>LICITAÇÃO MISTA – AMPLA PARTICIPAÇÃO E</w:t>
      </w:r>
    </w:p>
    <w:p w:rsidR="00837FCA" w:rsidRDefault="00432387" w:rsidP="00432387">
      <w:pPr>
        <w:spacing w:after="0" w:line="240" w:lineRule="auto"/>
        <w:ind w:left="345" w:right="159" w:firstLine="81"/>
        <w:jc w:val="center"/>
        <w:rPr>
          <w:rFonts w:ascii="Times New Roman" w:hAnsi="Times New Roman" w:cs="Times New Roman"/>
          <w:b/>
          <w:sz w:val="22"/>
        </w:rPr>
      </w:pPr>
      <w:r w:rsidRPr="00432387">
        <w:rPr>
          <w:rFonts w:ascii="Times New Roman" w:hAnsi="Times New Roman" w:cs="Times New Roman"/>
          <w:b/>
          <w:sz w:val="22"/>
        </w:rPr>
        <w:t>EXCLUSIVIDADE PARA ME/EPP/EQUIPARADO</w:t>
      </w:r>
    </w:p>
    <w:p w:rsidR="00432387" w:rsidRDefault="00432387" w:rsidP="00432387">
      <w:pPr>
        <w:spacing w:after="0" w:line="240" w:lineRule="auto"/>
        <w:ind w:left="345" w:right="159" w:firstLine="81"/>
        <w:jc w:val="center"/>
        <w:rPr>
          <w:rFonts w:ascii="Times New Roman" w:hAnsi="Times New Roman" w:cs="Times New Roman"/>
          <w:b/>
          <w:sz w:val="22"/>
        </w:rPr>
      </w:pP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B63278">
        <w:rPr>
          <w:rFonts w:ascii="Times New Roman" w:hAnsi="Times New Roman" w:cs="Times New Roman"/>
          <w:sz w:val="22"/>
        </w:rPr>
        <w:t>Secretário Municipal de Administração, Fazenda e Planejamento</w:t>
      </w:r>
      <w:r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Pr="001C0AE1">
        <w:rPr>
          <w:rFonts w:ascii="Times New Roman" w:hAnsi="Times New Roman" w:cs="Times New Roman"/>
          <w:sz w:val="22"/>
        </w:rPr>
        <w:t xml:space="preserve">, </w:t>
      </w:r>
      <w:r w:rsidR="00C31413" w:rsidRPr="001C0AE1">
        <w:rPr>
          <w:rFonts w:ascii="Times New Roman" w:hAnsi="Times New Roman" w:cs="Times New Roman"/>
          <w:b/>
          <w:sz w:val="22"/>
        </w:rPr>
        <w:t>TORNA</w:t>
      </w:r>
      <w:r w:rsidR="00E74BA3" w:rsidRPr="001C0AE1">
        <w:rPr>
          <w:rFonts w:ascii="Times New Roman" w:hAnsi="Times New Roman" w:cs="Times New Roman"/>
          <w:b/>
          <w:sz w:val="22"/>
        </w:rPr>
        <w:t xml:space="preserve"> PÚBLICO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Pr>
          <w:rFonts w:ascii="Times New Roman" w:hAnsi="Times New Roman" w:cs="Times New Roman"/>
          <w:b/>
          <w:sz w:val="22"/>
        </w:rPr>
        <w:t>MENOR PREÇO POR LOTE</w:t>
      </w:r>
      <w:r w:rsidRPr="001C0AE1">
        <w:rPr>
          <w:rFonts w:ascii="Times New Roman" w:hAnsi="Times New Roman" w:cs="Times New Roman"/>
          <w:sz w:val="22"/>
        </w:rPr>
        <w:t>,</w:t>
      </w:r>
      <w:r w:rsidR="00432387">
        <w:rPr>
          <w:rFonts w:ascii="Times New Roman" w:hAnsi="Times New Roman" w:cs="Times New Roman"/>
          <w:sz w:val="22"/>
        </w:rPr>
        <w:t xml:space="preserve"> </w:t>
      </w:r>
      <w:r w:rsidR="00432387" w:rsidRPr="00432387">
        <w:rPr>
          <w:rFonts w:ascii="Times New Roman" w:hAnsi="Times New Roman" w:cs="Times New Roman"/>
          <w:sz w:val="22"/>
          <w:u w:val="single"/>
        </w:rPr>
        <w:t>com lote exclusivo para ME e EPPS</w:t>
      </w:r>
      <w:r w:rsidRPr="001C0AE1">
        <w:rPr>
          <w:rFonts w:ascii="Times New Roman" w:hAnsi="Times New Roman" w:cs="Times New Roman"/>
          <w:sz w:val="22"/>
        </w:rPr>
        <w:t xml:space="preserve"> que será realizada por meio do site </w:t>
      </w:r>
      <w:hyperlink r:id="rId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8">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3D1996">
        <w:rPr>
          <w:rFonts w:ascii="Times New Roman" w:hAnsi="Times New Roman" w:cs="Times New Roman"/>
          <w:b/>
          <w:sz w:val="22"/>
          <w:highlight w:val="yellow"/>
        </w:rPr>
        <w:t>13/10</w:t>
      </w:r>
      <w:r w:rsidRPr="001C0AE1">
        <w:rPr>
          <w:rFonts w:ascii="Times New Roman" w:hAnsi="Times New Roman" w:cs="Times New Roman"/>
          <w:b/>
          <w:sz w:val="22"/>
          <w:highlight w:val="yellow"/>
        </w:rPr>
        <w:t>/2021,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9">
        <w:r w:rsidRPr="001C0AE1">
          <w:rPr>
            <w:rFonts w:ascii="Times New Roman" w:hAnsi="Times New Roman" w:cs="Times New Roman"/>
            <w:sz w:val="22"/>
          </w:rPr>
          <w:t xml:space="preserve"> </w:t>
        </w:r>
      </w:hyperlink>
      <w:hyperlink r:id="rId10">
        <w:r w:rsidRPr="001C0AE1">
          <w:rPr>
            <w:rFonts w:ascii="Times New Roman" w:hAnsi="Times New Roman" w:cs="Times New Roman"/>
            <w:color w:val="0563C1"/>
            <w:sz w:val="22"/>
            <w:u w:val="single" w:color="0000FF"/>
          </w:rPr>
          <w:t>www.bll.org.br</w:t>
        </w:r>
      </w:hyperlink>
      <w:hyperlink r:id="rId11">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764DC7">
        <w:rPr>
          <w:rFonts w:ascii="Times New Roman" w:hAnsi="Times New Roman" w:cs="Times New Roman"/>
          <w:b/>
          <w:sz w:val="22"/>
          <w:highlight w:val="yellow"/>
        </w:rPr>
        <w:t>01/10</w:t>
      </w:r>
      <w:r w:rsidRPr="001C0AE1">
        <w:rPr>
          <w:rFonts w:ascii="Times New Roman" w:hAnsi="Times New Roman" w:cs="Times New Roman"/>
          <w:b/>
          <w:sz w:val="22"/>
          <w:highlight w:val="yellow"/>
        </w:rPr>
        <w:t>/2021,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3D1996">
        <w:rPr>
          <w:rFonts w:ascii="Times New Roman" w:hAnsi="Times New Roman" w:cs="Times New Roman"/>
          <w:b/>
          <w:sz w:val="22"/>
          <w:highlight w:val="yellow"/>
        </w:rPr>
        <w:t>13/10</w:t>
      </w:r>
      <w:r w:rsidRPr="001C0AE1">
        <w:rPr>
          <w:rFonts w:ascii="Times New Roman" w:hAnsi="Times New Roman" w:cs="Times New Roman"/>
          <w:b/>
          <w:sz w:val="22"/>
          <w:highlight w:val="yellow"/>
        </w:rPr>
        <w:t>/2021,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lastRenderedPageBreak/>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9B25A8" w:rsidRPr="009B25A8">
        <w:rPr>
          <w:rFonts w:ascii="Times New Roman" w:hAnsi="Times New Roman" w:cs="Times New Roman"/>
          <w:color w:val="FF0000"/>
          <w:sz w:val="22"/>
          <w:u w:val="none"/>
        </w:rPr>
        <w:t xml:space="preserve">CONTRATAÇÃO DE EMPRESA </w:t>
      </w:r>
      <w:r w:rsidR="00920374" w:rsidRPr="009B25A8">
        <w:rPr>
          <w:rFonts w:ascii="Times New Roman" w:hAnsi="Times New Roman" w:cs="Times New Roman"/>
          <w:color w:val="FF0000"/>
          <w:sz w:val="22"/>
          <w:u w:val="none"/>
        </w:rPr>
        <w:t>PARA</w:t>
      </w:r>
      <w:r w:rsidR="00920374">
        <w:rPr>
          <w:rFonts w:ascii="Times New Roman" w:hAnsi="Times New Roman" w:cs="Times New Roman"/>
          <w:color w:val="FF0000"/>
          <w:sz w:val="22"/>
          <w:u w:val="none"/>
        </w:rPr>
        <w:t xml:space="preserve"> </w:t>
      </w:r>
      <w:r w:rsidR="00920374" w:rsidRPr="009B25A8">
        <w:rPr>
          <w:rFonts w:ascii="Times New Roman" w:hAnsi="Times New Roman" w:cs="Times New Roman"/>
          <w:b w:val="0"/>
          <w:color w:val="FF0000"/>
          <w:sz w:val="22"/>
          <w:u w:val="none"/>
        </w:rPr>
        <w:t>CONFECÇÃO</w:t>
      </w:r>
      <w:r w:rsidR="009B25A8">
        <w:rPr>
          <w:rFonts w:ascii="Times New Roman" w:eastAsiaTheme="minorHAnsi" w:hAnsi="Times New Roman" w:cs="Times New Roman"/>
          <w:bCs/>
          <w:color w:val="FF0000"/>
          <w:sz w:val="22"/>
          <w:u w:val="none"/>
        </w:rPr>
        <w:t xml:space="preserve"> DE PEÇAS DECORATIVAS PARA O PRESÉPIO E LOCAÇÃO DE MATERIAIS NATALINOS PARA</w:t>
      </w:r>
      <w:r w:rsidR="00920374">
        <w:rPr>
          <w:rFonts w:ascii="Times New Roman" w:eastAsiaTheme="minorHAnsi" w:hAnsi="Times New Roman" w:cs="Times New Roman"/>
          <w:bCs/>
          <w:color w:val="FF0000"/>
          <w:sz w:val="22"/>
          <w:u w:val="none"/>
        </w:rPr>
        <w:t xml:space="preserve"> DECORAÇÃO NOS POSTES DE ILUMINAÇÃO PÚBLICA PARA</w:t>
      </w:r>
      <w:r w:rsidR="009B25A8">
        <w:rPr>
          <w:rFonts w:ascii="Times New Roman" w:eastAsiaTheme="minorHAnsi" w:hAnsi="Times New Roman" w:cs="Times New Roman"/>
          <w:bCs/>
          <w:color w:val="FF0000"/>
          <w:sz w:val="22"/>
          <w:u w:val="none"/>
        </w:rPr>
        <w:t xml:space="preserve"> O NATAL 2021 NO MUNICÍPIO DE CORDILHEIRA ALTA/SC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432387" w:rsidRPr="00432387" w:rsidRDefault="00432387" w:rsidP="00432387"/>
    <w:p w:rsidR="00742D25"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           3.1 </w:t>
      </w:r>
      <w:r w:rsidRPr="001C0AE1">
        <w:rPr>
          <w:rFonts w:ascii="Times New Roman" w:hAnsi="Times New Roman" w:cs="Times New Roman"/>
          <w:b/>
          <w:sz w:val="22"/>
          <w:u w:val="single" w:color="000000"/>
        </w:rPr>
        <w:t>Poderão participar d</w:t>
      </w:r>
      <w:r w:rsidR="00196E60" w:rsidRPr="001C0AE1">
        <w:rPr>
          <w:rFonts w:ascii="Times New Roman" w:hAnsi="Times New Roman" w:cs="Times New Roman"/>
          <w:b/>
          <w:sz w:val="22"/>
          <w:u w:val="single" w:color="000000"/>
        </w:rPr>
        <w:t>o presente pregão eletrônico as microempresas ou empresas de pequeno porte</w:t>
      </w:r>
      <w:r w:rsidRPr="001C0AE1">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1C0AE1">
        <w:rPr>
          <w:rFonts w:ascii="Times New Roman" w:hAnsi="Times New Roman" w:cs="Times New Roman"/>
          <w:sz w:val="22"/>
          <w:u w:val="single" w:color="000000"/>
        </w:rPr>
        <w:t>, especialmente o disposto no Termo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Referência</w:t>
      </w:r>
      <w:r w:rsidRPr="001C0A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1C0AE1">
          <w:rPr>
            <w:rFonts w:ascii="Times New Roman" w:hAnsi="Times New Roman" w:cs="Times New Roman"/>
            <w:color w:val="0000FF"/>
            <w:sz w:val="22"/>
            <w:u w:val="single" w:color="0000FF"/>
          </w:rPr>
          <w:t>www.bll.org.b</w:t>
        </w:r>
      </w:hyperlink>
      <w:hyperlink r:id="rId13">
        <w:r w:rsidRPr="001C0AE1">
          <w:rPr>
            <w:rFonts w:ascii="Times New Roman" w:hAnsi="Times New Roman" w:cs="Times New Roman"/>
            <w:color w:val="0000FF"/>
            <w:sz w:val="22"/>
            <w:u w:val="single" w:color="0000FF"/>
          </w:rPr>
          <w:t>r</w:t>
        </w:r>
      </w:hyperlink>
      <w:hyperlink r:id="rId14">
        <w:r w:rsidRPr="001C0AE1">
          <w:rPr>
            <w:rFonts w:ascii="Times New Roman" w:hAnsi="Times New Roman" w:cs="Times New Roman"/>
            <w:sz w:val="22"/>
          </w:rPr>
          <w:t>.</w:t>
        </w:r>
      </w:hyperlink>
      <w:hyperlink r:id="rId15">
        <w:r w:rsidRPr="001C0AE1">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432387" w:rsidRPr="001C0AE1" w:rsidRDefault="00CB4F9F" w:rsidP="00CB4F9F">
      <w:pPr>
        <w:ind w:left="345" w:right="94" w:firstLine="648"/>
        <w:rPr>
          <w:rFonts w:ascii="Times New Roman" w:hAnsi="Times New Roman" w:cs="Times New Roman"/>
          <w:sz w:val="22"/>
        </w:rPr>
      </w:pPr>
      <w:r w:rsidRPr="00CB4F9F">
        <w:rPr>
          <w:rFonts w:ascii="Times New Roman" w:hAnsi="Times New Roman" w:cs="Times New Roman"/>
          <w:sz w:val="22"/>
          <w:highlight w:val="yellow"/>
        </w:rPr>
        <w:t xml:space="preserve">3.1.1 </w:t>
      </w:r>
      <w:r w:rsidR="00432387" w:rsidRPr="00CB4F9F">
        <w:rPr>
          <w:rFonts w:ascii="Times New Roman" w:hAnsi="Times New Roman" w:cs="Times New Roman"/>
          <w:sz w:val="22"/>
          <w:highlight w:val="yellow"/>
        </w:rPr>
        <w:t xml:space="preserve">A participação nesta licitação </w:t>
      </w:r>
      <w:r w:rsidR="00432387" w:rsidRPr="00CB4F9F">
        <w:rPr>
          <w:rFonts w:ascii="Times New Roman" w:hAnsi="Times New Roman" w:cs="Times New Roman"/>
          <w:b/>
          <w:sz w:val="22"/>
          <w:highlight w:val="yellow"/>
        </w:rPr>
        <w:t>é restrita</w:t>
      </w:r>
      <w:r w:rsidR="00432387" w:rsidRPr="00CB4F9F">
        <w:rPr>
          <w:rFonts w:ascii="Times New Roman" w:hAnsi="Times New Roman" w:cs="Times New Roman"/>
          <w:sz w:val="22"/>
          <w:highlight w:val="yellow"/>
        </w:rPr>
        <w:t xml:space="preserve"> às Microempresas - ME, Empresas de Pequeno Porte - EPP e Equiparados (cooperativas enquadradas no art. 34 da Lei nº 11.488/07 ou empresário individual enquadrados nas situações previstas no art. 3º da Lei Complementar nº 123/06), </w:t>
      </w:r>
      <w:r w:rsidR="00432387" w:rsidRPr="00CB4F9F">
        <w:rPr>
          <w:rFonts w:ascii="Times New Roman" w:hAnsi="Times New Roman" w:cs="Times New Roman"/>
          <w:b/>
          <w:sz w:val="22"/>
          <w:highlight w:val="yellow"/>
        </w:rPr>
        <w:t>com relação ao Lote: 2</w:t>
      </w:r>
      <w:r w:rsidR="00432387" w:rsidRPr="00CB4F9F">
        <w:rPr>
          <w:rFonts w:ascii="Times New Roman" w:hAnsi="Times New Roman" w:cs="Times New Roman"/>
          <w:sz w:val="22"/>
          <w:highlight w:val="yellow"/>
        </w:rPr>
        <w:t xml:space="preserve"> </w:t>
      </w:r>
      <w:r w:rsidRPr="00CB4F9F">
        <w:rPr>
          <w:rFonts w:ascii="Times New Roman" w:hAnsi="Times New Roman" w:cs="Times New Roman"/>
          <w:sz w:val="22"/>
          <w:highlight w:val="yellow"/>
        </w:rPr>
        <w:t xml:space="preserve">- </w:t>
      </w:r>
      <w:r w:rsidR="00432387" w:rsidRPr="00CB4F9F">
        <w:rPr>
          <w:rFonts w:ascii="Times New Roman" w:hAnsi="Times New Roman" w:cs="Times New Roman"/>
          <w:b/>
          <w:sz w:val="22"/>
          <w:highlight w:val="yellow"/>
        </w:rPr>
        <w:t>Para o lote: 1, o critério será o da ampla participação</w:t>
      </w:r>
      <w:r w:rsidR="00432387" w:rsidRPr="00CB4F9F">
        <w:rPr>
          <w:rFonts w:ascii="Times New Roman" w:hAnsi="Times New Roman" w:cs="Times New Roman"/>
          <w:sz w:val="22"/>
          <w:highlight w:val="yellow"/>
        </w:rPr>
        <w:t>.</w:t>
      </w:r>
    </w:p>
    <w:p w:rsidR="00742D25" w:rsidRPr="001C0AE1" w:rsidRDefault="003F0B27" w:rsidP="007266D4">
      <w:pPr>
        <w:ind w:left="345" w:right="88" w:firstLine="708"/>
        <w:rPr>
          <w:rFonts w:ascii="Times New Roman" w:hAnsi="Times New Roman" w:cs="Times New Roman"/>
          <w:sz w:val="22"/>
        </w:rPr>
      </w:pPr>
      <w:r w:rsidRPr="001C0AE1">
        <w:rPr>
          <w:rFonts w:ascii="Times New Roman" w:hAnsi="Times New Roman" w:cs="Times New Roman"/>
          <w:b/>
          <w:sz w:val="22"/>
        </w:rPr>
        <w:t>3.1.1</w:t>
      </w:r>
      <w:r w:rsidR="00CB4F9F">
        <w:rPr>
          <w:rFonts w:ascii="Times New Roman" w:hAnsi="Times New Roman" w:cs="Times New Roman"/>
          <w:b/>
          <w:sz w:val="22"/>
        </w:rPr>
        <w:t>.1</w:t>
      </w:r>
      <w:r w:rsidRPr="001C0AE1">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3.1.1.1</w:t>
      </w:r>
      <w:r w:rsidR="00CB4F9F">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7">
        <w:r w:rsidRPr="001C0AE1">
          <w:rPr>
            <w:rFonts w:ascii="Times New Roman" w:hAnsi="Times New Roman" w:cs="Times New Roman"/>
            <w:color w:val="0563C1"/>
            <w:sz w:val="22"/>
            <w:u w:val="single" w:color="0000FF"/>
          </w:rPr>
          <w:t>www.bll.org.br</w:t>
        </w:r>
      </w:hyperlink>
      <w:hyperlink r:id="rId18">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9">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20"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1C0AE1">
          <w:rPr>
            <w:rFonts w:ascii="Times New Roman" w:hAnsi="Times New Roman" w:cs="Times New Roman"/>
            <w:color w:val="0563C1"/>
            <w:sz w:val="22"/>
            <w:u w:val="single" w:color="0563C1"/>
          </w:rPr>
          <w:t>https://certidoes</w:t>
        </w:r>
      </w:hyperlink>
      <w:hyperlink r:id="rId22">
        <w:r w:rsidRPr="001C0AE1">
          <w:rPr>
            <w:rFonts w:ascii="Times New Roman" w:hAnsi="Times New Roman" w:cs="Times New Roman"/>
            <w:color w:val="0563C1"/>
            <w:sz w:val="22"/>
            <w:u w:val="single" w:color="0563C1"/>
          </w:rPr>
          <w:t>-</w:t>
        </w:r>
      </w:hyperlink>
      <w:hyperlink r:id="rId23">
        <w:r w:rsidRPr="001C0AE1">
          <w:rPr>
            <w:rFonts w:ascii="Times New Roman" w:hAnsi="Times New Roman" w:cs="Times New Roman"/>
            <w:color w:val="0563C1"/>
            <w:sz w:val="22"/>
            <w:u w:val="single" w:color="0563C1"/>
          </w:rPr>
          <w:t>apf.apps.tcu.gov.br/</w:t>
        </w:r>
      </w:hyperlink>
      <w:hyperlink r:id="rId24">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j)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742D25" w:rsidRDefault="001B56ED" w:rsidP="007266D4">
      <w:pPr>
        <w:spacing w:after="0" w:line="259" w:lineRule="auto"/>
        <w:ind w:left="284" w:right="94" w:firstLine="709"/>
        <w:rPr>
          <w:rFonts w:ascii="Times New Roman" w:hAnsi="Times New Roman" w:cs="Times New Roman"/>
          <w:sz w:val="22"/>
        </w:rPr>
      </w:pPr>
      <w:r w:rsidRPr="001C0AE1">
        <w:rPr>
          <w:rFonts w:ascii="Times New Roman" w:hAnsi="Times New Roman" w:cs="Times New Roman"/>
          <w:sz w:val="22"/>
        </w:rPr>
        <w:t xml:space="preserve">k) </w:t>
      </w:r>
      <w:r w:rsidR="003F0B27" w:rsidRPr="001C0AE1">
        <w:rPr>
          <w:rFonts w:ascii="Times New Roman" w:hAnsi="Times New Roman" w:cs="Times New Roman"/>
          <w:sz w:val="22"/>
        </w:rPr>
        <w:t>Declaração que não possui em seu quadro de pessoal serv</w:t>
      </w:r>
      <w:r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C53377" w:rsidRDefault="00C53377" w:rsidP="007266D4">
      <w:pPr>
        <w:spacing w:after="0" w:line="259" w:lineRule="auto"/>
        <w:ind w:left="284" w:right="94" w:firstLine="709"/>
        <w:rPr>
          <w:rFonts w:ascii="Times New Roman" w:hAnsi="Times New Roman" w:cs="Times New Roman"/>
          <w:sz w:val="22"/>
        </w:rPr>
      </w:pPr>
    </w:p>
    <w:p w:rsidR="00C53377" w:rsidRPr="005B3DF9" w:rsidRDefault="00C53377" w:rsidP="007266D4">
      <w:pPr>
        <w:spacing w:after="0" w:line="259" w:lineRule="auto"/>
        <w:ind w:left="284" w:right="94" w:firstLine="709"/>
        <w:rPr>
          <w:rFonts w:ascii="Times New Roman" w:hAnsi="Times New Roman" w:cs="Times New Roman"/>
          <w:b/>
          <w:sz w:val="22"/>
        </w:rPr>
      </w:pPr>
      <w:r w:rsidRPr="005B3DF9">
        <w:rPr>
          <w:rFonts w:ascii="Times New Roman" w:hAnsi="Times New Roman" w:cs="Times New Roman"/>
          <w:b/>
          <w:sz w:val="22"/>
        </w:rPr>
        <w:t>QUALIFICAÇÃO – TECNICA:</w:t>
      </w:r>
    </w:p>
    <w:p w:rsidR="00C53377" w:rsidRDefault="00C53377" w:rsidP="007266D4">
      <w:pPr>
        <w:spacing w:after="0" w:line="259" w:lineRule="auto"/>
        <w:ind w:left="284" w:right="94" w:firstLine="709"/>
        <w:rPr>
          <w:rFonts w:ascii="Times New Roman" w:hAnsi="Times New Roman" w:cs="Times New Roman"/>
          <w:sz w:val="22"/>
        </w:rPr>
      </w:pPr>
    </w:p>
    <w:p w:rsidR="00C53377" w:rsidRPr="001C0AE1" w:rsidRDefault="00C53377" w:rsidP="007266D4">
      <w:pPr>
        <w:spacing w:after="0" w:line="259" w:lineRule="auto"/>
        <w:ind w:left="284" w:right="94" w:firstLine="709"/>
        <w:rPr>
          <w:rFonts w:ascii="Times New Roman" w:hAnsi="Times New Roman" w:cs="Times New Roman"/>
          <w:sz w:val="22"/>
        </w:rPr>
      </w:pPr>
      <w:r>
        <w:rPr>
          <w:rFonts w:ascii="Times New Roman" w:hAnsi="Times New Roman" w:cs="Times New Roman"/>
          <w:sz w:val="22"/>
        </w:rPr>
        <w:t xml:space="preserve">l) </w:t>
      </w:r>
      <w:r w:rsidR="005B3DF9" w:rsidRPr="005B3DF9">
        <w:rPr>
          <w:rFonts w:ascii="Times New Roman" w:hAnsi="Times New Roman" w:cs="Times New Roman"/>
          <w:sz w:val="22"/>
        </w:rPr>
        <w:t>Comprovação de aptidão</w:t>
      </w:r>
      <w:r w:rsidR="005B3DF9">
        <w:rPr>
          <w:rFonts w:ascii="Times New Roman" w:hAnsi="Times New Roman" w:cs="Times New Roman"/>
          <w:sz w:val="22"/>
        </w:rPr>
        <w:t xml:space="preserve"> tecnica</w:t>
      </w:r>
      <w:r w:rsidR="005B3DF9" w:rsidRPr="005B3DF9">
        <w:rPr>
          <w:rFonts w:ascii="Times New Roman" w:hAnsi="Times New Roman" w:cs="Times New Roman"/>
          <w:sz w:val="22"/>
        </w:rPr>
        <w:t xml:space="preserve"> emitido por pessoa jurídica de direito público ou privado atestando que a empresa licitante já desempenhou os serviços pertinentes e compatíveis em características, quantidades e prazos com o objeto da licitação.</w:t>
      </w: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5B3DF9">
        <w:rPr>
          <w:rFonts w:ascii="Times New Roman" w:hAnsi="Times New Roman" w:cs="Times New Roman"/>
          <w:b/>
          <w:sz w:val="22"/>
          <w:highlight w:val="yellow"/>
        </w:rPr>
        <w:t xml:space="preserve">VALOR </w:t>
      </w:r>
      <w:r w:rsidR="005B3DF9" w:rsidRPr="005B3DF9">
        <w:rPr>
          <w:rFonts w:ascii="Times New Roman" w:hAnsi="Times New Roman" w:cs="Times New Roman"/>
          <w:b/>
          <w:sz w:val="22"/>
          <w:highlight w:val="yellow"/>
        </w:rPr>
        <w:t>POR LOTE</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5B3DF9">
        <w:rPr>
          <w:rFonts w:ascii="Times New Roman" w:hAnsi="Times New Roman" w:cs="Times New Roman"/>
          <w:b/>
          <w:sz w:val="22"/>
          <w:highlight w:val="yellow"/>
        </w:rPr>
        <w:t>LOTE</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742D25" w:rsidRPr="001C0AE1" w:rsidRDefault="003F0B27">
      <w:pPr>
        <w:spacing w:after="76"/>
        <w:ind w:left="345" w:right="94"/>
        <w:rPr>
          <w:rFonts w:ascii="Times New Roman" w:hAnsi="Times New Roman" w:cs="Times New Roman"/>
          <w:sz w:val="22"/>
        </w:rPr>
      </w:pPr>
      <w:r w:rsidRPr="001C0AE1">
        <w:rPr>
          <w:rFonts w:ascii="Times New Roman" w:hAnsi="Times New Roman" w:cs="Times New Roman"/>
          <w:sz w:val="22"/>
        </w:rPr>
        <w:t>8.4.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3F0B27">
      <w:pPr>
        <w:spacing w:after="76"/>
        <w:ind w:left="345" w:right="94"/>
        <w:rPr>
          <w:rFonts w:ascii="Times New Roman" w:hAnsi="Times New Roman" w:cs="Times New Roman"/>
          <w:sz w:val="22"/>
        </w:rPr>
      </w:pPr>
      <w:r w:rsidRPr="001C0AE1">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8.5.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Pregoeiro (a) no sistema, sob pena de não aceitação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8.5.1. Dentre os documentos passíveis de solicitação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5B3DF9">
        <w:rPr>
          <w:rFonts w:ascii="Times New Roman" w:hAnsi="Times New Roman" w:cs="Times New Roman"/>
          <w:b/>
          <w:sz w:val="22"/>
          <w:highlight w:val="yellow"/>
        </w:rPr>
        <w:t>MENOR PREÇO POR LOTE</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1C0AE1">
        <w:rPr>
          <w:rFonts w:ascii="Times New Roman" w:hAnsi="Times New Roman" w:cs="Times New Roman"/>
          <w:sz w:val="22"/>
        </w:rPr>
        <w:t xml:space="preserve">12.2. </w:t>
      </w:r>
      <w:r w:rsidR="00B92F50" w:rsidRPr="001C0AE1">
        <w:rPr>
          <w:rFonts w:ascii="Times New Roman" w:hAnsi="Times New Roman" w:cs="Times New Roman"/>
          <w:sz w:val="22"/>
        </w:rPr>
        <w:t>As despesas decorrentes do objeto deste edital correrão</w:t>
      </w:r>
      <w:r w:rsidRPr="001C0AE1">
        <w:rPr>
          <w:rFonts w:ascii="Times New Roman" w:hAnsi="Times New Roman" w:cs="Times New Roman"/>
          <w:sz w:val="22"/>
        </w:rPr>
        <w:t xml:space="preserve"> a cargo da dotação: </w:t>
      </w:r>
      <w:r w:rsidR="005B0E37" w:rsidRPr="001C0AE1">
        <w:rPr>
          <w:rFonts w:ascii="Times New Roman" w:hAnsi="Times New Roman" w:cs="Times New Roman"/>
          <w:sz w:val="22"/>
        </w:rPr>
        <w:t>(Projeto Atividade</w:t>
      </w:r>
      <w:r w:rsidR="005B0E37" w:rsidRPr="001C0AE1">
        <w:rPr>
          <w:rFonts w:ascii="Times New Roman" w:hAnsi="Times New Roman" w:cs="Times New Roman"/>
          <w:b/>
          <w:sz w:val="22"/>
        </w:rPr>
        <w:t xml:space="preserve"> </w:t>
      </w:r>
      <w:r w:rsidR="008057CD" w:rsidRPr="001C0AE1">
        <w:rPr>
          <w:rFonts w:ascii="Times New Roman" w:hAnsi="Times New Roman" w:cs="Times New Roman"/>
          <w:b/>
          <w:color w:val="auto"/>
          <w:sz w:val="22"/>
          <w:highlight w:val="yellow"/>
        </w:rPr>
        <w:t>2.005</w:t>
      </w:r>
      <w:r w:rsidR="005B0E37" w:rsidRPr="001C0AE1">
        <w:rPr>
          <w:rFonts w:ascii="Times New Roman" w:hAnsi="Times New Roman" w:cs="Times New Roman"/>
          <w:b/>
          <w:color w:val="auto"/>
          <w:sz w:val="22"/>
          <w:highlight w:val="yellow"/>
        </w:rPr>
        <w:t xml:space="preserve"> – </w:t>
      </w:r>
      <w:r w:rsidR="004F462C" w:rsidRPr="001C0AE1">
        <w:rPr>
          <w:rFonts w:ascii="Times New Roman" w:hAnsi="Times New Roman" w:cs="Times New Roman"/>
          <w:b/>
          <w:sz w:val="22"/>
          <w:highlight w:val="yellow"/>
        </w:rPr>
        <w:t>Elemento 3.3</w:t>
      </w:r>
      <w:r w:rsidR="005B0E37" w:rsidRPr="001C0AE1">
        <w:rPr>
          <w:rFonts w:ascii="Times New Roman" w:hAnsi="Times New Roman" w:cs="Times New Roman"/>
          <w:b/>
          <w:sz w:val="22"/>
          <w:highlight w:val="yellow"/>
        </w:rPr>
        <w:t>.90</w:t>
      </w:r>
      <w:r w:rsidR="004F462C" w:rsidRPr="001C0AE1">
        <w:rPr>
          <w:rFonts w:ascii="Times New Roman" w:hAnsi="Times New Roman" w:cs="Times New Roman"/>
          <w:b/>
          <w:sz w:val="22"/>
          <w:highlight w:val="yellow"/>
        </w:rPr>
        <w:t xml:space="preserve"> – Despesa</w:t>
      </w:r>
      <w:r w:rsidR="00637A1F" w:rsidRPr="001C0AE1">
        <w:rPr>
          <w:rFonts w:ascii="Times New Roman" w:hAnsi="Times New Roman" w:cs="Times New Roman"/>
          <w:b/>
          <w:sz w:val="22"/>
          <w:highlight w:val="yellow"/>
        </w:rPr>
        <w:t xml:space="preserve"> </w:t>
      </w:r>
      <w:r w:rsidR="00764DC7">
        <w:rPr>
          <w:rFonts w:ascii="Times New Roman" w:hAnsi="Times New Roman" w:cs="Times New Roman"/>
          <w:b/>
          <w:sz w:val="22"/>
          <w:highlight w:val="yellow"/>
        </w:rPr>
        <w:t>65</w:t>
      </w:r>
      <w:r w:rsidR="005B0E37" w:rsidRPr="001C0AE1">
        <w:rPr>
          <w:rFonts w:ascii="Times New Roman" w:hAnsi="Times New Roman" w:cs="Times New Roman"/>
          <w:sz w:val="22"/>
        </w:rPr>
        <w:t>, prevista na Lei Orçamentária do Exercício de 2021.</w:t>
      </w:r>
      <w:r w:rsidR="008057CD"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1C0AE1">
          <w:rPr>
            <w:rFonts w:ascii="Times New Roman" w:hAnsi="Times New Roman" w:cs="Times New Roman"/>
            <w:sz w:val="22"/>
            <w:u w:val="single" w:color="000000"/>
          </w:rPr>
          <w:t>www.diariomunicipal.sc.gov.br</w:t>
        </w:r>
      </w:hyperlink>
      <w:hyperlink r:id="rId27">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3F0B27" w:rsidP="00B92F50">
      <w:pPr>
        <w:spacing w:after="0" w:line="259" w:lineRule="auto"/>
        <w:ind w:left="426" w:right="91" w:firstLine="0"/>
        <w:jc w:val="left"/>
        <w:rPr>
          <w:rFonts w:ascii="Times New Roman" w:hAnsi="Times New Roman" w:cs="Times New Roman"/>
          <w:sz w:val="22"/>
        </w:rPr>
      </w:pPr>
      <w:r w:rsidRPr="001C0AE1">
        <w:rPr>
          <w:rFonts w:ascii="Times New Roman" w:hAnsi="Times New Roman" w:cs="Times New Roman"/>
          <w:sz w:val="22"/>
        </w:rPr>
        <w:t xml:space="preserve">Cordilheira Alta, SC, </w:t>
      </w:r>
      <w:r w:rsidR="00764DC7">
        <w:rPr>
          <w:rFonts w:ascii="Times New Roman" w:hAnsi="Times New Roman" w:cs="Times New Roman"/>
          <w:color w:val="FF0000"/>
          <w:sz w:val="22"/>
        </w:rPr>
        <w:t>30</w:t>
      </w:r>
      <w:r w:rsidR="008057CD" w:rsidRPr="001C0AE1">
        <w:rPr>
          <w:rFonts w:ascii="Times New Roman" w:hAnsi="Times New Roman" w:cs="Times New Roman"/>
          <w:color w:val="FF0000"/>
          <w:sz w:val="22"/>
        </w:rPr>
        <w:t xml:space="preserve"> de setembro</w:t>
      </w:r>
      <w:r w:rsidRPr="001C0AE1">
        <w:rPr>
          <w:rFonts w:ascii="Times New Roman" w:hAnsi="Times New Roman" w:cs="Times New Roman"/>
          <w:color w:val="FF0000"/>
          <w:sz w:val="22"/>
        </w:rPr>
        <w:t xml:space="preserve"> de 2021.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RUDIMAR MARAFON</w:t>
      </w:r>
    </w:p>
    <w:p w:rsidR="00742D25" w:rsidRPr="001C0AE1" w:rsidRDefault="00B63278" w:rsidP="008057CD">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 de Administração, Fazenda e Planejamento</w:t>
      </w:r>
    </w:p>
    <w:p w:rsidR="005904CE" w:rsidRPr="001C0AE1" w:rsidRDefault="005904CE">
      <w:pPr>
        <w:spacing w:after="109" w:line="250" w:lineRule="auto"/>
        <w:ind w:left="973" w:right="0" w:hanging="10"/>
        <w:jc w:val="center"/>
        <w:rPr>
          <w:rFonts w:ascii="Times New Roman" w:hAnsi="Times New Roman" w:cs="Times New Roman"/>
          <w:sz w:val="22"/>
        </w:rPr>
      </w:pPr>
    </w:p>
    <w:p w:rsidR="005904CE" w:rsidRPr="001C0AE1" w:rsidRDefault="005904CE">
      <w:pPr>
        <w:spacing w:after="109" w:line="250" w:lineRule="auto"/>
        <w:ind w:left="973" w:right="0" w:hanging="10"/>
        <w:jc w:val="center"/>
        <w:rPr>
          <w:rFonts w:ascii="Times New Roman" w:hAnsi="Times New Roman" w:cs="Times New Roman"/>
          <w:sz w:val="22"/>
        </w:rPr>
      </w:pPr>
    </w:p>
    <w:p w:rsidR="000B0117" w:rsidRPr="001C0AE1" w:rsidRDefault="000B0117">
      <w:pPr>
        <w:spacing w:after="109" w:line="250" w:lineRule="auto"/>
        <w:ind w:left="973" w:right="0" w:hanging="10"/>
        <w:jc w:val="center"/>
        <w:rPr>
          <w:rFonts w:ascii="Times New Roman" w:hAnsi="Times New Roman" w:cs="Times New Roman"/>
          <w:sz w:val="22"/>
        </w:rPr>
      </w:pPr>
    </w:p>
    <w:p w:rsidR="000B0117" w:rsidRPr="001C0AE1" w:rsidRDefault="000B0117">
      <w:pPr>
        <w:spacing w:after="109" w:line="250" w:lineRule="auto"/>
        <w:ind w:left="973" w:right="0" w:hanging="10"/>
        <w:jc w:val="center"/>
        <w:rPr>
          <w:rFonts w:ascii="Times New Roman" w:hAnsi="Times New Roman" w:cs="Times New Roman"/>
          <w:sz w:val="22"/>
        </w:rPr>
      </w:pPr>
    </w:p>
    <w:p w:rsidR="000B0117" w:rsidRPr="001C0AE1" w:rsidRDefault="000B0117">
      <w:pPr>
        <w:spacing w:after="109" w:line="250" w:lineRule="auto"/>
        <w:ind w:left="973" w:right="0" w:hanging="10"/>
        <w:jc w:val="center"/>
        <w:rPr>
          <w:rFonts w:ascii="Times New Roman" w:hAnsi="Times New Roman" w:cs="Times New Roman"/>
          <w:sz w:val="22"/>
        </w:rPr>
      </w:pPr>
    </w:p>
    <w:p w:rsidR="00146D47" w:rsidRPr="001C0AE1" w:rsidRDefault="00146D47">
      <w:pPr>
        <w:spacing w:after="109" w:line="250" w:lineRule="auto"/>
        <w:ind w:left="973" w:right="0" w:hanging="10"/>
        <w:jc w:val="center"/>
        <w:rPr>
          <w:rFonts w:ascii="Times New Roman" w:hAnsi="Times New Roman" w:cs="Times New Roman"/>
          <w:sz w:val="22"/>
        </w:rPr>
      </w:pPr>
    </w:p>
    <w:p w:rsidR="008057CD" w:rsidRDefault="008057CD">
      <w:pPr>
        <w:spacing w:after="109" w:line="250" w:lineRule="auto"/>
        <w:ind w:left="973" w:right="0" w:hanging="10"/>
        <w:jc w:val="center"/>
        <w:rPr>
          <w:rFonts w:ascii="Times New Roman" w:hAnsi="Times New Roman" w:cs="Times New Roman"/>
          <w:sz w:val="22"/>
        </w:rPr>
      </w:pPr>
    </w:p>
    <w:p w:rsidR="00764DC7" w:rsidRDefault="00764DC7">
      <w:pPr>
        <w:spacing w:after="109" w:line="250" w:lineRule="auto"/>
        <w:ind w:left="973" w:right="0" w:hanging="10"/>
        <w:jc w:val="center"/>
        <w:rPr>
          <w:rFonts w:ascii="Times New Roman" w:hAnsi="Times New Roman" w:cs="Times New Roman"/>
          <w:sz w:val="22"/>
        </w:rPr>
      </w:pPr>
    </w:p>
    <w:p w:rsidR="00764DC7" w:rsidRDefault="00764DC7">
      <w:pPr>
        <w:spacing w:after="109" w:line="250" w:lineRule="auto"/>
        <w:ind w:left="973" w:right="0" w:hanging="10"/>
        <w:jc w:val="center"/>
        <w:rPr>
          <w:rFonts w:ascii="Times New Roman" w:hAnsi="Times New Roman" w:cs="Times New Roman"/>
          <w:sz w:val="22"/>
        </w:rPr>
      </w:pPr>
    </w:p>
    <w:p w:rsidR="00764DC7" w:rsidRDefault="00764DC7">
      <w:pPr>
        <w:spacing w:after="109" w:line="250" w:lineRule="auto"/>
        <w:ind w:left="973" w:right="0" w:hanging="10"/>
        <w:jc w:val="center"/>
        <w:rPr>
          <w:rFonts w:ascii="Times New Roman" w:hAnsi="Times New Roman" w:cs="Times New Roman"/>
          <w:sz w:val="22"/>
        </w:rPr>
      </w:pPr>
    </w:p>
    <w:p w:rsidR="00764DC7" w:rsidRDefault="00764DC7">
      <w:pPr>
        <w:spacing w:after="109" w:line="250" w:lineRule="auto"/>
        <w:ind w:left="973" w:right="0" w:hanging="10"/>
        <w:jc w:val="center"/>
        <w:rPr>
          <w:rFonts w:ascii="Times New Roman" w:hAnsi="Times New Roman" w:cs="Times New Roman"/>
          <w:sz w:val="22"/>
        </w:rPr>
      </w:pPr>
    </w:p>
    <w:p w:rsidR="00764DC7" w:rsidRDefault="00764DC7">
      <w:pPr>
        <w:spacing w:after="109" w:line="250" w:lineRule="auto"/>
        <w:ind w:left="973" w:right="0" w:hanging="10"/>
        <w:jc w:val="center"/>
        <w:rPr>
          <w:rFonts w:ascii="Times New Roman" w:hAnsi="Times New Roman" w:cs="Times New Roman"/>
          <w:sz w:val="22"/>
        </w:rPr>
      </w:pPr>
    </w:p>
    <w:p w:rsidR="00A22670" w:rsidRPr="001C0AE1" w:rsidRDefault="00A22670">
      <w:pPr>
        <w:spacing w:after="109" w:line="250" w:lineRule="auto"/>
        <w:ind w:left="973"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sidR="001C5CFC">
        <w:rPr>
          <w:rFonts w:ascii="Times New Roman" w:hAnsi="Times New Roman" w:cs="Times New Roman"/>
          <w:b/>
          <w:color w:val="FF0000"/>
          <w:sz w:val="22"/>
        </w:rPr>
        <w:t>176</w:t>
      </w:r>
      <w:r w:rsidRPr="001C0AE1">
        <w:rPr>
          <w:rFonts w:ascii="Times New Roman" w:hAnsi="Times New Roman" w:cs="Times New Roman"/>
          <w:b/>
          <w:color w:val="FF0000"/>
          <w:sz w:val="22"/>
        </w:rPr>
        <w:t xml:space="preserve">/2021 </w:t>
      </w:r>
    </w:p>
    <w:p w:rsidR="001C0AE1" w:rsidRPr="001C0AE1" w:rsidRDefault="001C0AE1" w:rsidP="001C0AE1">
      <w:pPr>
        <w:spacing w:after="109" w:line="250" w:lineRule="auto"/>
        <w:ind w:left="0"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1C5CFC">
        <w:rPr>
          <w:rFonts w:ascii="Times New Roman" w:hAnsi="Times New Roman" w:cs="Times New Roman"/>
          <w:b/>
          <w:color w:val="FF0000"/>
          <w:sz w:val="22"/>
        </w:rPr>
        <w:t>71</w:t>
      </w:r>
      <w:r w:rsidRPr="001C0AE1">
        <w:rPr>
          <w:rFonts w:ascii="Times New Roman" w:hAnsi="Times New Roman" w:cs="Times New Roman"/>
          <w:b/>
          <w:color w:val="FF0000"/>
          <w:sz w:val="22"/>
        </w:rPr>
        <w:t>/2021</w:t>
      </w:r>
    </w:p>
    <w:p w:rsidR="007355D0" w:rsidRPr="001C0AE1" w:rsidRDefault="007355D0" w:rsidP="00450574">
      <w:pPr>
        <w:spacing w:after="109" w:line="250" w:lineRule="auto"/>
        <w:ind w:left="0" w:right="0" w:firstLine="0"/>
        <w:rPr>
          <w:rFonts w:ascii="Times New Roman" w:hAnsi="Times New Roman" w:cs="Times New Roman"/>
          <w:sz w:val="22"/>
        </w:rPr>
      </w:pP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5B0E37" w:rsidRPr="001C0AE1" w:rsidRDefault="005B0E37" w:rsidP="005B0E37">
      <w:pPr>
        <w:pStyle w:val="Ttulo1"/>
        <w:ind w:left="355" w:right="88"/>
        <w:rPr>
          <w:rFonts w:ascii="Times New Roman" w:hAnsi="Times New Roman" w:cs="Times New Roman"/>
          <w:sz w:val="22"/>
        </w:rPr>
      </w:pPr>
      <w:r w:rsidRPr="001C0AE1">
        <w:rPr>
          <w:rFonts w:ascii="Times New Roman" w:hAnsi="Times New Roman" w:cs="Times New Roman"/>
          <w:sz w:val="22"/>
        </w:rPr>
        <w:t xml:space="preserve">1.OBJETO: </w:t>
      </w:r>
    </w:p>
    <w:p w:rsidR="005B0E37" w:rsidRPr="001C0AE1" w:rsidRDefault="005B0E37" w:rsidP="005B0E37">
      <w:pPr>
        <w:rPr>
          <w:rFonts w:ascii="Times New Roman" w:hAnsi="Times New Roman" w:cs="Times New Roman"/>
          <w:sz w:val="22"/>
        </w:rPr>
      </w:pPr>
    </w:p>
    <w:p w:rsidR="005B0E37" w:rsidRPr="001C0AE1" w:rsidRDefault="005B0E37" w:rsidP="005B0E37">
      <w:pPr>
        <w:spacing w:after="4"/>
        <w:ind w:left="355" w:right="88" w:hanging="10"/>
        <w:rPr>
          <w:rFonts w:ascii="Times New Roman" w:hAnsi="Times New Roman" w:cs="Times New Roman"/>
          <w:b/>
          <w:sz w:val="22"/>
        </w:rPr>
      </w:pPr>
      <w:r w:rsidRPr="001C0AE1">
        <w:rPr>
          <w:rFonts w:ascii="Times New Roman" w:eastAsiaTheme="minorHAnsi" w:hAnsi="Times New Roman" w:cs="Times New Roman"/>
          <w:b/>
          <w:bCs/>
          <w:color w:val="FF0000"/>
          <w:sz w:val="22"/>
        </w:rPr>
        <w:t xml:space="preserve">1.1 - </w:t>
      </w:r>
      <w:r w:rsidR="00920374" w:rsidRPr="00920374">
        <w:rPr>
          <w:rFonts w:ascii="Times New Roman" w:eastAsiaTheme="minorHAnsi" w:hAnsi="Times New Roman" w:cs="Times New Roman"/>
          <w:b/>
          <w:bCs/>
          <w:color w:val="FF0000"/>
          <w:sz w:val="22"/>
        </w:rPr>
        <w:t>CONTRATAÇÃO DE EMPRESA PARA CONFECÇÃO DE PEÇAS DECORATIVAS PARA O PRESÉPIO E LOCAÇÃO DE MATE</w:t>
      </w:r>
      <w:r w:rsidR="00B747BA">
        <w:rPr>
          <w:rFonts w:ascii="Times New Roman" w:eastAsiaTheme="minorHAnsi" w:hAnsi="Times New Roman" w:cs="Times New Roman"/>
          <w:b/>
          <w:bCs/>
          <w:color w:val="FF0000"/>
          <w:sz w:val="22"/>
        </w:rPr>
        <w:t>RIAIS NATALINOS PARA DECORAÇÃO D</w:t>
      </w:r>
      <w:r w:rsidR="00920374" w:rsidRPr="00920374">
        <w:rPr>
          <w:rFonts w:ascii="Times New Roman" w:eastAsiaTheme="minorHAnsi" w:hAnsi="Times New Roman" w:cs="Times New Roman"/>
          <w:b/>
          <w:bCs/>
          <w:color w:val="FF0000"/>
          <w:sz w:val="22"/>
        </w:rPr>
        <w:t>OS POSTES DE ILUMINAÇÃO PÚBLICA PARA O NATAL 2021 NO MUNICÍPIO DE CORDILHEIRA ALTA/SC</w:t>
      </w:r>
      <w:r w:rsidRPr="001C0AE1">
        <w:rPr>
          <w:rFonts w:ascii="Times New Roman" w:hAnsi="Times New Roman" w:cs="Times New Roman"/>
          <w:b/>
          <w:sz w:val="22"/>
        </w:rPr>
        <w:t>, conforme descrição e quantidade estabelecida no quatro abaixo:</w:t>
      </w:r>
    </w:p>
    <w:p w:rsidR="008D013C" w:rsidRPr="001C0AE1" w:rsidRDefault="005B0E37" w:rsidP="005B0E37">
      <w:pPr>
        <w:spacing w:after="0" w:line="259" w:lineRule="auto"/>
        <w:ind w:right="0" w:firstLine="0"/>
        <w:jc w:val="left"/>
        <w:rPr>
          <w:rFonts w:ascii="Times New Roman" w:hAnsi="Times New Roman" w:cs="Times New Roman"/>
          <w:b/>
          <w:sz w:val="22"/>
        </w:rPr>
      </w:pPr>
      <w:r w:rsidRPr="001C0AE1">
        <w:rPr>
          <w:rFonts w:ascii="Times New Roman" w:hAnsi="Times New Roman" w:cs="Times New Roman"/>
          <w:b/>
          <w:sz w:val="22"/>
        </w:rPr>
        <w:t xml:space="preserve"> </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12"/>
        <w:gridCol w:w="1156"/>
        <w:gridCol w:w="2030"/>
        <w:gridCol w:w="699"/>
        <w:gridCol w:w="3036"/>
        <w:gridCol w:w="1012"/>
        <w:gridCol w:w="1068"/>
      </w:tblGrid>
      <w:tr w:rsidR="00E30C0A" w:rsidRPr="00E30C0A" w:rsidTr="00432387">
        <w:trPr>
          <w:jc w:val="center"/>
        </w:trPr>
        <w:tc>
          <w:tcPr>
            <w:tcW w:w="7195" w:type="dxa"/>
            <w:gridSpan w:val="3"/>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jc w:val="left"/>
              <w:rPr>
                <w:rFonts w:ascii="Arial" w:eastAsiaTheme="minorEastAsia" w:hAnsi="Arial" w:cs="Arial"/>
                <w:color w:val="auto"/>
                <w:sz w:val="16"/>
                <w:szCs w:val="24"/>
              </w:rPr>
            </w:pPr>
            <w:r w:rsidRPr="00E30C0A">
              <w:rPr>
                <w:rFonts w:ascii="Arial" w:eastAsiaTheme="minorEastAsia" w:hAnsi="Arial" w:cs="Arial"/>
                <w:b/>
                <w:color w:val="auto"/>
                <w:sz w:val="16"/>
                <w:szCs w:val="24"/>
              </w:rPr>
              <w:t>Lote: Itens locação materia Natalino</w:t>
            </w:r>
          </w:p>
        </w:tc>
        <w:tc>
          <w:tcPr>
            <w:tcW w:w="72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heme="minorEastAsia" w:hAnsi="Arial" w:cs="Arial"/>
                <w:color w:val="auto"/>
                <w:sz w:val="16"/>
                <w:szCs w:val="24"/>
              </w:rPr>
            </w:pPr>
          </w:p>
        </w:tc>
        <w:tc>
          <w:tcPr>
            <w:tcW w:w="2880" w:type="dxa"/>
            <w:gridSpan w:val="2"/>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jc w:val="right"/>
              <w:outlineLvl w:val="1"/>
              <w:rPr>
                <w:rFonts w:ascii="Arial" w:eastAsia="Times New Roman" w:hAnsi="Arial" w:cs="Arial"/>
                <w:b/>
                <w:bCs/>
                <w:color w:val="auto"/>
                <w:sz w:val="36"/>
                <w:szCs w:val="36"/>
              </w:rPr>
            </w:pPr>
            <w:r w:rsidRPr="00E30C0A">
              <w:rPr>
                <w:rFonts w:ascii="Arial" w:eastAsia="Times New Roman" w:hAnsi="Arial" w:cs="Arial"/>
                <w:b/>
                <w:bCs/>
                <w:color w:val="auto"/>
                <w:sz w:val="16"/>
                <w:szCs w:val="36"/>
              </w:rPr>
              <w:t>Preço Total do Lote:</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jc w:val="right"/>
              <w:rPr>
                <w:rFonts w:ascii="Arial" w:eastAsiaTheme="minorEastAsia" w:hAnsi="Arial" w:cs="Arial"/>
                <w:color w:val="auto"/>
                <w:sz w:val="16"/>
                <w:szCs w:val="24"/>
              </w:rPr>
            </w:pPr>
            <w:r w:rsidRPr="00E30C0A">
              <w:rPr>
                <w:rFonts w:ascii="Arial" w:eastAsiaTheme="minorEastAsia" w:hAnsi="Arial" w:cs="Arial"/>
                <w:color w:val="auto"/>
                <w:sz w:val="15"/>
                <w:szCs w:val="15"/>
              </w:rPr>
              <w:t xml:space="preserve">133.867,29 </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b/>
                <w:bCs/>
                <w:color w:val="auto"/>
                <w:sz w:val="16"/>
                <w:szCs w:val="24"/>
              </w:rPr>
            </w:pPr>
            <w:r w:rsidRPr="00E30C0A">
              <w:rPr>
                <w:rFonts w:ascii="Arial" w:eastAsia="Times New Roman" w:hAnsi="Arial" w:cs="Arial"/>
                <w:b/>
                <w:bCs/>
                <w:color w:val="auto"/>
                <w:sz w:val="16"/>
                <w:szCs w:val="24"/>
              </w:rPr>
              <w:t>Item</w:t>
            </w:r>
          </w:p>
        </w:tc>
        <w:tc>
          <w:tcPr>
            <w:tcW w:w="126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b/>
                <w:bCs/>
                <w:color w:val="auto"/>
                <w:sz w:val="16"/>
                <w:szCs w:val="24"/>
              </w:rPr>
            </w:pPr>
            <w:r w:rsidRPr="00E30C0A">
              <w:rPr>
                <w:rFonts w:ascii="Arial" w:eastAsia="Times New Roman" w:hAnsi="Arial" w:cs="Arial"/>
                <w:b/>
                <w:bCs/>
                <w:color w:val="auto"/>
                <w:sz w:val="16"/>
                <w:szCs w:val="24"/>
              </w:rPr>
              <w:t>Quantidade</w:t>
            </w:r>
          </w:p>
        </w:tc>
        <w:tc>
          <w:tcPr>
            <w:tcW w:w="72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b/>
                <w:bCs/>
                <w:color w:val="auto"/>
                <w:sz w:val="16"/>
                <w:szCs w:val="24"/>
              </w:rPr>
            </w:pPr>
            <w:r w:rsidRPr="00E30C0A">
              <w:rPr>
                <w:rFonts w:ascii="Arial" w:eastAsia="Times New Roman" w:hAnsi="Arial" w:cs="Arial"/>
                <w:b/>
                <w:bCs/>
                <w:color w:val="auto"/>
                <w:sz w:val="16"/>
                <w:szCs w:val="24"/>
              </w:rPr>
              <w:t>Unid.</w:t>
            </w:r>
          </w:p>
        </w:tc>
        <w:tc>
          <w:tcPr>
            <w:tcW w:w="72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b/>
                <w:bCs/>
                <w:color w:val="auto"/>
                <w:sz w:val="16"/>
                <w:szCs w:val="24"/>
              </w:rPr>
            </w:pPr>
            <w:r w:rsidRPr="00E30C0A">
              <w:rPr>
                <w:rFonts w:ascii="Arial" w:eastAsia="Times New Roman" w:hAnsi="Arial" w:cs="Arial"/>
                <w:b/>
                <w:bCs/>
                <w:color w:val="auto"/>
                <w:sz w:val="16"/>
                <w:szCs w:val="24"/>
              </w:rPr>
              <w:t>Marca</w:t>
            </w:r>
          </w:p>
        </w:tc>
        <w:tc>
          <w:tcPr>
            <w:tcW w:w="5695"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b/>
                <w:bCs/>
                <w:color w:val="auto"/>
                <w:sz w:val="16"/>
                <w:szCs w:val="24"/>
              </w:rPr>
            </w:pPr>
            <w:r w:rsidRPr="00E30C0A">
              <w:rPr>
                <w:rFonts w:ascii="Arial" w:eastAsia="Times New Roman" w:hAnsi="Arial" w:cs="Arial"/>
                <w:b/>
                <w:bCs/>
                <w:color w:val="auto"/>
                <w:sz w:val="16"/>
                <w:szCs w:val="24"/>
              </w:rPr>
              <w:t>Descrição</w:t>
            </w:r>
          </w:p>
        </w:tc>
        <w:tc>
          <w:tcPr>
            <w:tcW w:w="126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b/>
                <w:bCs/>
                <w:color w:val="auto"/>
                <w:sz w:val="16"/>
                <w:szCs w:val="24"/>
              </w:rPr>
            </w:pPr>
            <w:r w:rsidRPr="00E30C0A">
              <w:rPr>
                <w:rFonts w:ascii="Arial" w:eastAsia="Times New Roman" w:hAnsi="Arial" w:cs="Arial"/>
                <w:b/>
                <w:bCs/>
                <w:color w:val="auto"/>
                <w:sz w:val="16"/>
                <w:szCs w:val="24"/>
              </w:rPr>
              <w:t>Preço Unit. Máximo</w:t>
            </w:r>
          </w:p>
        </w:tc>
        <w:tc>
          <w:tcPr>
            <w:tcW w:w="126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b/>
                <w:bCs/>
                <w:color w:val="auto"/>
                <w:sz w:val="16"/>
                <w:szCs w:val="24"/>
              </w:rPr>
            </w:pPr>
            <w:r w:rsidRPr="00E30C0A">
              <w:rPr>
                <w:rFonts w:ascii="Arial" w:eastAsia="Times New Roman" w:hAnsi="Arial" w:cs="Arial"/>
                <w:b/>
                <w:bCs/>
                <w:color w:val="auto"/>
                <w:sz w:val="16"/>
                <w:szCs w:val="24"/>
              </w:rPr>
              <w:t>Preço Total</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1</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17,00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PAINEL LUMINOSO BIDIMENSIONAL EM EXCELENTE ESTADO COM DESENHO EM FORMA DE ARABESCOS COM ESTRELA, MEDINDO ENTRE: MÍNIMO: 4,60M DE ALTURA X 1,20M DE LARGURA / MÁXIMO: 4,70M DE ALTURA X 1,30M DE LARGURA, PRODUZIDO EM BARRA CHATA, TUBO QUADRADO, PAREDE EM AÇO CARBONO 1020, GALVANIZAÇÃO POR IMERSÃO A BASE DE ZINCO, VISANDO A PROTEÇÃO DE CORROSÕES E EXPOSIÇÃO ÀS INTEMPÉRIES. CONTORNO DA FIGURA EM MANGUEIRA LUMINOSA 13MM DE DIÂMETRO, INCANDESCENTE NA COR CRISTAL, EM PVC FLEXÍVEL, COM 36 MICRO LÂMPADAS POR METRO. PARA O EFEITO DE MOVIMENTO SERÁ APLICADO STROBOS COM LÂMPADAS DE XÊNON DE 6W DE POTÊNCIA, COM FLASHES DE LUZ BRILHANTE, APROXIMADAMENTE 50 EMISSÕES POR MINUTO, MODELO REDONDO, MEDINDO APROXIMADAMENTE 8,5CM DE BASE DE FIXAÇÃO. TENSÃO DE 220V. POTÊNCIA DA FIGURA: 216W</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1.069,05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18173,85</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2</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8,00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REFLETOR DE LED PARA AMBIENTES EXTERNOS NA COR VERDE, MEDINDO ENTRE: MÍNIMO: 33CM DE ALTURA X 29CM DE LARGURA X 11CM DE COMPRIMENTO. POTÊNCIA DO REFLETOR: 100W E 9500 LUMENS. ÍNDICE DE PROTEÇÃO 66 (IP66). PESO DO PRODUTO: 2,5KG. MULTI-TENSÃO: 90-265V. DURAÇÃO MÉDIA DE ATÉ 50.000 HORAS. PRODUTO RECICLÁVEL.</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341,31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2730,48</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3</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POSTE BIDIMENSIONAL, LUMINOSO, EM EXCELENTE ESTADO COM DESENHOS EM FORMA DE ARABESCOS, ESTRELAS E BOLAS DE NATAL, MEDINDO ENTRE: MÍNIMO: 3,75M DE ALTURA X 1,65M DE LARGURA / MÁXIMO: 3,85M DE ALTURA X 1,75M DE LARGURA, FIGURA COMPOSTA POR UM POSTE METÁLICO DE 2,5 POLEGADAS, ARABESCOS, ESTRELAS E BOLAS NATALINAS PRODUZIDOS EM ESTRUTURA DE BARRA CHATA, ZINCADA, COM PROTEÇÃO ANTICORROSIVA RESISTENTE A EXPOSIÇÃO ÀS INTEMPÉRIES. APLICAÇÃO DE MANGUEIRA LUMINOSA INCANDESCENTE NAS CORES CRISTAL, VERDE E VERMELHO EM PVC FLEXÍVEL, DE 13,00MM DE DIÂMETRO, COM 36 MICRO LÂMPADAS POR METRO. TENSÃO DE 220V. POTÊNCIA DA FIGURA: 736W</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2.843,96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2843,96</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4</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7,00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CONJUNTO COM 378 MICRO LÂMPADAS DE LED BRANCA COM FLASHING, EM FORMA DE CASCATA, COR CRISTAL, FIO ELÉTRICO BRANCO (2X05MM²), SENDO 90% LEDS BRANCOS FRIO E 10% DE FLASHING (EFEITO PISCA). MEDINDO: 3,80M DE COMPRIMENTO X 1,10M DE QUEDA ASSIMÉTRICA. PRODUTO APROPRIADO PARA USO EXTERNO. TENSÃO DE 220V. POTÊNCIA DO PRODUTO: 18W</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284,04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1988,28</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5</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4,00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REFLETOR DE LED PARA AMBIENTES EXTERNOS NA COR AZUL, MEDINDO ENTRE: MÍNIMO: 33CM DE ALTURA X 29CM DE LARGURA X 11CM DE COMPRIMENTO. POTÊNCIA DO REFLETOR: 100W E 9500 LUMENS. ÍNDICE DE PROTEÇÃO 66 (IP66). PESO DO PRODUTO: 2,5KG. MULTI-TENSÃO: 90-265V. DURAÇÃO MÉDIA DE ATÉ 50.000 HORAS. PRODUTO RECICLÁVEL.</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317,11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1268,44</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6</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80,00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CONJUNTO COM 100 LEDS BRANCOS FIO VERDE, MEDINDO CERCA DE 8M DE COMPRIMENTO NA EXTENSÃO DO FIO COM OS LEDS E 0,20M DE FIO ATÉ OS CONECTORES (0,10M EM CADA PONTA). TERMINAL COM PINOS MACHO E FÊMEA DE ROSCA, PERMITINDO A EMENDA DE ATÉ 04 CONJUNTOS. O CABO DE FORÇA MEDE CERCA DE 0,50M. A MEDIDA TOTAL DO CONJUNTO É DE 8,70M. FIO ELÉTRICO 2 X 0,5MM². PRODUTO ADEQUADO PARA USO EXTERNO. TENSÃO DE 220V. POTÊNCIA DO PRODUTO: 5W.</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46,82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3745,60</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7</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ESTRUTURA EM FORMATO DE TRAVE, PRODUZIDA EM ESTRUTURA METÁLICA ZINCADA E PAREDE DE 2MM. DIMENSÕES PROPORCIONAIS ENTRE: 3,50M DE ALTURA X 4,00 DE LARGURA, COM 2 POSTES LATERAIS NA VERTICAL DE 3 POLEGADAS E POSTE CENTRAL NA HORIZONTAL DE 2,5 POLEGADAS PINTADOS COM ESMALTE SINTÉTICO AUTOMOTIVO.</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4.220,35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12661,05</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8</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PAINEL LUMINOSO BIDIMENSIONAL EM EXCELENTE ESTADO COM DESENHO EM FORMA DE ARABESCOS COM ESTRELAS, COMETAS E ANJOS, MEDINDO ENTRE: MÍNIMO: 3,15M DE ALTURA X 7,95M DE LARGURA / MÁXIMO: 3,25M DE ALTURA X 8,05M DE LARGURA, PRODUZIDO EM BARRA CHATA, TUBO QUADRADO, PAREDE DE 1,20MM DE ESPESSURA EM AÇO CARBONO 1020, GALVANIZAÇÃO POR IMERSÃO A BASE DE ZINCO, VISANDO A PROTEÇÃO DE CORROSÕES E EXPOSIÇÃO ÀS INTEMPÉRIES. CONTORNO DA FIGURA EM MANGUEIRA LUMINOSA 13MM DE DIÂMETRO, INCANDESCENTE NA COR CRISTAL, EM PVC FLEXÍVEL, COM 36 MICRO LÂMPADAS POR METRO. TENSÃO DE 220V. POTÊNCIA DA FIGURA: 960W</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4.194,81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12584,43</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9</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BALÃO DE LUZ INTERATIVO, EM EXCELENTE ESTADO, COM CESTO QUE POSSUI ACESSO AO INTERIOR PARA FOTOS, FIGURA TRIDIMENSIONAL, BALÃO PRODUZIDO COM METALON 20MM X 20MM, METALON 15MM X 15MM, BARRA CHATA, GALVANIZAÇÃO POR IMERSÃO A BASE DE ZINCO, VISANDO A PROTEÇÃO DE CORROSÕES E EXPOSIÇÃO ÀS INTEMPÉRIES. TUBOS PARA JUNÇÃO DO BALÃO E CESTO, PRODUZIDOS EM ESTRUTURA DE TUBO METÁLICO DE 2,5 POLEGADAS COM PAREDE DE 2,5MM, METALON 30MM X 30MM, METALON 20MM X 20MM, BARRA CHATA, ZINCADA, COM PROTEÇÃO ANTICORROSIVA. CESTO PRODUZIDO EM VIME SINTÉTICO COM FORMATO ABALOADO RESISTENTE AO TEMPO, ASSOALHO EM COMPENSADO NAVAL FORRADO COM GRAMA SINTÉTICA E ADORNADO COM FESTÃO ARAMADO VERDE, FITA DE VELUDO VERMELHO, LAÇOS DE VELUDO VERMELHO E BOLAS DOURADAS. CONTORNO COM MANGUEIRA LUMINOSA DE LED BRANCO, EM PVC FLEXÍVEL EXTRUSADO, DE 13,00MM DE DIÂMETRO, COM 36 LEDS POR METRO. PREENCHIMENTO COM CONJUNTOS DE LED VERDE, VERMELHO BRANCO FRIO E BRANCO MORNO, SENDO ALGUNS FLASHINGS. A JUNÇÃO DAS PARTES DA BOLA É FEITA POR MEIO DE ABRAÇADEIRAS PRODUZIDAS EM BARRA CHATA. MEDIDAS ENTRE: MÍNIMO: 4,65M DE ALTURA X 2,85M DE LARGURA X 2,85M DE COMPRIMENTO / MÁXIMO: 4,75M DE ALTURA X 2,95M DE LARGURA X 2,95M DE PROFUNDIDADE. POSTE METÁLICO E REFLETOR DE LED DE 10W PARA ILUMINAÇÃO NOTURNA DO CESTO. TENSÃO DE 220V. POTÊNCIA DO BALÃO: 2983W</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20.997,26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20997,26</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10</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 xml:space="preserve">LOCAÇÃO DE BANCO COM ENCOSTO EM FORMA DE PAPAI NOEL DE BRAÇOS ABERTOS, TRIDIMENSIONAL, EM EXCELENTE ESTRADO , PINTURA COLORIDA COM PREDOMINÂNCIA DAS CORES VERMELHO E BRANCO, MEDINDO ENTRE: MÍNIMO: 1,60 M DE ALTURA X 1,70M DE LARGURA X 0,81M DE PROFUNDIDADE / MÁXIMO: 1,70M DE ALTURA X 1,80M DE LARGURA X 0,91M DE PROFUNDIDADE, CONFECCIONADO EM FIBRA DE VIDRO E PINTURA COM ESMALTE SINTÉTICO E VERNIZ AUTOMOTIVO. ESTRUTURA BASE DO BANCO PRODUZIDO COM MADEIRA.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3.664,07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3664,07</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11</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REFLETOR DE LED PARA AMBIENTES EXTERNOS NA COR VERDE, MEDINDO ENTRE: MÍNIMO: 33CM DE ALTURA X 29CM DE LARGURA X 11CM DE COMPRIMENTO. POTÊNCIA DO REFLETOR: 100W E 9500 LUMENS. ÍNDICE DE PROTEÇÃO 66 (IP66). PESO DO PRODUTO: 2,5KG. MULTI-TENSÃO: 90-265V. DURAÇÃO MÉDIA DE ATÉ 50.000 HORAS. PRODUTO RECICLÁVEL.</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321,14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642,28</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12</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TRENÓ GRANDE COM ABERTURA LATERAL PARA ENTRADA DE CRIANÇAS, TRIDIMENSIONAL, EM EXCELENTE ESTADO, PINTURA COLORIDA COM PREDOMINÂNCIA DAS CORES VERMELHO E DOURADO, MEDINDO ENTRE: MÍNIMO: 1,45M DE ALTURA X 1,00M DE LARGURA X 2,30M DE PROFUNDIDADE / MÁXIMO: 1,55M DE ALTURA X 1,10M DE LARGURA X 2,40M DE PROFUNDIDADE, CONFECCIONADO EM FIBRA DE VIDRO E PINTURA COM ESMALTE SINTÉTICO E VERNIZ AUTOMOTIVO.</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5.070,42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5070,42</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13</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RENA COM PEDESTAL PARA FIXAR NO CHÃO, TRIDIMENSIONAL, EM EXCELENTE ESTADO, PINTURA COLORIDA COM PREDOMINÂNCIA DAS CORES CARAMELO E DOURADO, MEDINDO ENTRE: MÍNIMO: 1,65M DE ALTURA X 0,49M DE LARGURA X 1,95M DE PROFUNDIDADE / MÁXIMO: 1,75M DE ALTURA X 0,59M DE LARGURA X 2,05M DE PROFUNDIDADE, CONFECCIONADO EM FIBRA DE VIDRO E PINTURA COM ESMALTE SINTÉTICO E VERNIZ AUTOMOTIVO.</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3.361,24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6722,48</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14</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PAPAI NOEL SENTADO, PARA APLICAÇÃO EM TRENÓ OU EM LUGARES ADEQUADOS, TRIDIMENSIONAL, PINTURA COLORIDA COM PREDOMINÂNCIA DAS CORES VERMELHO, PRETO E BRANCO, MEDINDO ENTRE: MÍNIMO: 1,45M DE ALTURA X 0,75M DE LARGURA X 1,10M DE PROFUNDIDADE / MÁXIMO: 1,55M DE ALTURA X 0,85M DE LARGURA X 1,20M DE PROFUNDIDADE, CONFECCIONADO EM FIBRA DE VIDRO E PINTURA COM ESMALTE SINTÉTICO E VERNIZ AUTOMOTIVO.</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4.207,21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4207,21</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15</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DUENDE AJUDANTE DE PAPAI NOEL, EM POSIÇÃO EMPURRANDO, TRIDIMENSIONAL, EM EXCELENTE ESTADO, PINTURA COLORIDA COM PREDOMINÂNCIA DAS CORES AZUL E AMARELO, MEDINDO ENTRE: MÍNIMO: 1,40M DE ALTURA X 0,95M DE LARGURA X 0,85M DE PROFUNDIDADE / MÁXIMO: 1,50M DE ALTURA X 1,05M DE LARGURA X 0,95M DE PROFUNDIDADE, CONFECCIONADO EM FIBRA DE VIDRO E PINTURA COM ESMALTE SINTÉTICO E VERNIZ AUTOMOTIVO.</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2.590,71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2590,71</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16</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DUENDE AJUDANTE DE PAPAI NOEL, EM POSIÇÃO PUXANDO, TRIDIMENSIONAL, EM EXCELENTE ESTADO, PINTURA COLORIDA COM PREDOMINÂNCIA DAS CORES AZUL E VERMELHO, MEDINDO ENTRE: MÍNIMO: 1,40M DE ALTURA X 1,25M DE LARGURA X 0,85M DE PROFUNDIDADE / MÁXIMO: 1,50M DE ALTURA X 1,35M DE LARGURA X 0,95M DE PROFUNDIDADE, CONFECCIONADO EM FIBRA DE VIDRO E PINTURA COM ESMALTE SINTÉTICO E VERNIZ AUTOMOTIVO.</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2.926,94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2926,94</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17</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 xml:space="preserve">LOCAÇÃO DE CAIXA DE PRESENTE ALTA VERMELHA COM LAÇO DOURADO, TRIDIMENSIONAL, EM EXCELENTE ESTADO , MEDINDO ENTRE: MÍNIMO: 1,15M DE ALTURA X 0,95M DE LARGURA X 0,95M DE PROFUNDIDADE / MÁXIMO: 1,25M DE ALTURA X 1,05M DE LARGURA X 1,05M DE PROFUNDIDADE, CONFECCIONADO EM FIBRA DE VIDRO, COM PINTURA COM ESMALTE SINTÉTICO E VERNIZ AUTOMOTIVO.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2.272,80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2272,80</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18</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DUENDE AJUDANTE DE PAPAI NOEL, EM POSIÇÃO SENTADO, TRIDIMENSIONAL, EM EXCELENTE ESTADO, PINTURA COLORIDA COM PREDOMINÂNCIA DAS CORES VERMELHO E VERDE, MEDINDO ENTRE: MÍNIMO: 1,40M DE ALTURA X 1,23M DE LARGURA X 0,75M DE PROFUNDIDADE / MÁXIMO: 1,50M DE ALTURA X 1,33M DE LARGURA X 0,85M DE PROFUNDIDADE, CONFECCIONADO EM FIBRA DE VIDRO E PINTURA COM ESMALTE SINTÉTICO E VERNIZ AUTOMOTIVO.</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2.853,66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2853,66</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19</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ÁRVORE LUMINOSA SEXTAVADA COM DESENHO EM FORMA DE ARABESCOS, EM EXCELENTE ESTADO, FORMADA POR 6 PAINÉIS TRIANGULARES QUE QUANDO INTERLIGADAS FORMAM UMA BASE HEXAGONAL AUTOPORTANTE QUE DEVE SER FIXADA AO SOLO COM MATERIAIS ADEQUADOS, DE ACORDO COM A SUPERFÍCIE. MEDINDO ENTRE: MÍNIMO: 4,35M DE ALTURA X 2,83M DE LARGURA X 2,45M DE COMPRIMENTO / MÁXIMO: 4,45M DE ALTURA X 2,93M DE LARGURA X 2,55M DE COMPRIMENTO, PRODUZIDA EM ESTRUTURA DE METALON 30MM X 30MM, PAREDE DE 2,00MM DE ESPESSURA, BARRA CHATA, ZINCADA, COM PROTEÇÃO ANTICORROSIVA RESISTENTE A EXPOSIÇÃO ÀS INTEMPÉRIES. CONTORNO DA ÁRVORE COM MANGUEIRA LUMINOSA INCANDESCENTE CRISTAL, EM PVC FLEXÍVEL EXTRUSADO, DE 13,00MM DE DIÂMETRO, COM 36 MICRO LÂMPADAS POR METRO. TENSÃO DE 220V. POTÊNCIA DA FIGURA: 1728W</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6.664,00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6664,00</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20</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4,00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REFLETOR DE LED PARA AMBIENTES EXTERNOS NA COR VERDE, MEDINDO ENTRE: MÍNIMO: 33CM DE ALTURA X 29CM DE LARGURA X 11CM DE COMPRIMENTO. POTÊNCIA DO REFLETOR: 100W E 9500 LUMENS. ÍNDICE DE PROTEÇÃO 66 (IP66). PESO DO PRODUTO: 2,5KG. MULTI-TENSÃO: 90-265V. DURAÇÃO MÉDIA DE ATÉ 50.000 HORAS. PRODUTO RECICLÁVEL.</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336,17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1344,68</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21</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70,00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CONJUNTO COM 100 LEDS BRANCOS FIO VERDE, MEDINDO CERCA DE 8M DE COMPRIMENTO NA EXTENSÃO DO FIO COM OS LEDS E 0,20M DE FIO ATÉ OS CONECTORES (0,10M EM CADA PONTA). TERMINAL COM PINOS MACHO E FÊMEA DE ROSCA, PERMITINDO A EMENDA DE ATÉ 04 CONJUNTOS. O CABO DE FORÇA MEDE CERCA DE 0,50M. A MEDIDA TOTAL DO CONJUNTO É DE 8,70M. FIO ELÉTRICO 2 X 0,5MM². PRODUTO ADEQUADO PARA USO EXTERNO. TENSÃO DE 220V. POTÊNCIA DO PRODUTO: 5W.</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49,72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3480,40</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22</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POSTE PRODUZIDO EM ESTRUTURA DE AÇO CARBONO 1020, MEDINDO APROXIMADAMENTE 4M DE ALTURA COM 2,5 POLEGADAS DE DIÂMETRO X 2MM DE PAREDE, ZINCADO COM PROTEÇÃO ANTICORROSIVA RESISTENTE A EXPOSIÇÃO ÀS INTEMPÉRIES.</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460,16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460,16</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23</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PAINEL LUMINOSO BIDIMENSIONAL COM DESENHO EM FORMA DE PALMEIRA DE ESTRELAS, EM EXCELENTE ESTADO MEDINDO ENTRE: MÍNIMO: 4,65M DE ALTURA X 1,35M DE LARGURA / MÁXIMO: 4,75M DE ALTURA X 1,45M DE LARGURA, PRODUZIDO EM BARRA CHATA E TUBO QUADRADO, PAREDE DE 1,20MM DE ESPESSURA EM AÇO CARBONO 1020, GALVANIZAÇÃO POR IMERSÃO A BASE DE ZINCO, VISANDO A PROTEÇÃO DE CORROSÕES E EXPOSIÇÃO ÀS INTEMPÉRIES. CONTORNO DA FIGURA EM MANGUEIRA LUMINOSA 13MM DE DIÂMETRO, INCANDESCENTE NA COR CRISTAL, EM PVC FLEXÍVEL, COM 36 MICRO LÂMPADAS POR METRO. PARA O EFEITO DE MOVIMENTO SERÁ APLICADO STROBOS COM LÂMPADAS DE XÊNON DE 6W DE POTÊNCIA, COM FLASHES DE LUZ BRILHANTE, APROXIMADAMENTE 50 EMISSÕES POR MINUTO, MODELO REDONDO, MEDINDO APROXIMADAMENTE 8,5CM DE BASE DE FIXAÇÃO. TENSÃO DE 220V. POTÊNCIA DA FIGURA: 216W</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975,29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2925,87</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24</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2,00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POSTE PRODUZIDO EM ESTRUTURA DE AÇO CARBONO 1020, MEDINDO APROXIMADAMENTE 4M DE ALTURA COM 2,5 POLEGADAS DE DIÂMETRO X 2MM DE PAREDE, ZINCADO COM PROTEÇÃO ANTICORROSIVA RESISTENTE A EXPOSIÇÃO ÀS INTEMPÉRIES.</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460,16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920,32</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25</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6,00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PAINEL LUMINOSO BIDIMENSIONAL COM DESENHO EM FORMA DE PALMEIRA DE ESTRELAS, EM EXCELENTE ESTADO, MEDINDO ENTRE: MÍNIMO: 4,65M DE ALTURA X 1,35M DE LARGURA / MÁXIMO: 4,75M DE ALTURA X 1,45M DE LARGURA, PRODUZIDO EM BARRA CHATA, TUBO QUADRADO, PAREDE EM AÇO CARBONO 1020, GALVANIZAÇÃO POR IMERSÃO A BASE DE ZINCO, VISANDO A PROTEÇÃO DE CORROSÕES E EXPOSIÇÃO ÀS INTEMPÉRIES. CONTORNO DA FIGURA EM MANGUEIRA LUMINOSA 13MM DE DIÂMETRO, INCANDESCENTE NA COR CRISTAL, EM PVC FLEXÍVEL, COM 36 MICRO LÂMPADAS POR METRO. PARA O EFEITO DE MOVIMENTO SERÁ APLICADO STROBOS COM LÂMPADAS DE XÊNON DE 6W DE POTÊNCIA, COM FLASHES DE LUZ BRILHANTE, APROXIMADAMENTE 50 EMISSÕES POR MINUTO, MODELO REDONDO, MEDINDO APROXIMADAMENTE 8,5CM DE BASE DE FIXAÇÃO. TENSÃO DE 220V. POTÊNCIA DA FIGURA: 216W</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975,29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5851,74</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26</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4,00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LOCAÇÃO DE PAINEL LUMINOSO BIDIMENSIONAL COM DESENHO EM FORMA DE ARABESCOS COM ESTRELA, EM EXCELENTE ESTADO, MEDINDO ENTRE: MÍNIMO: 4,60M DE ALTURA X 1,20M DE LARGURA / MÁXIMO: 4,70M DE ALTURA X 1,30M DE LARGURA, PRODUZIDO EM BARRA CHATA E TUBO QUADRADO, PAREDE EM AÇO CARBONO 1020, GALVANIZAÇÃO POR IMERSÃO A BASE DE ZINCO, VISANDO A PROTEÇÃO DE CORROSÕES E EXPOSIÇÃO ÀS INTEMPÉRIES. CONTORNO DA FIGURA EM MANGUEIRA LUMINOSA 13MM DE DIÂMETRO, INCANDESCENTE NA COR CRISTAL, EM PVC FLEXÍVEL, COM 36 MICRO LÂMPADAS POR METRO. PARA O EFEITO DE MOVIMENTO SERÁ APLICADO STROBOS COM LÂMPADAS DE XÊNON DE 6W DE POTÊNCIA, COM FLASHES DE LUZ BRILHANTE, APROXIMADAMENTE 50 EMISSÕES POR MINUTO, MODELO REDONDO, MEDINDO APROXIMADAMENTE 8,5CM DE BASE DE FIXAÇÃO. TENSÃO DE 220V. POTÊNCIA DA FIGURA: 216W</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1.069,05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4276,20</w:t>
            </w:r>
          </w:p>
        </w:tc>
      </w:tr>
      <w:tr w:rsidR="00E30C0A" w:rsidRPr="00E30C0A" w:rsidTr="00432387">
        <w:trPr>
          <w:jc w:val="center"/>
        </w:trPr>
        <w:tc>
          <w:tcPr>
            <w:tcW w:w="11515" w:type="dxa"/>
            <w:gridSpan w:val="6"/>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0" w:type="auto"/>
            <w:vAlign w:val="center"/>
            <w:hideMark/>
          </w:tcPr>
          <w:p w:rsidR="00E30C0A" w:rsidRPr="00E30C0A" w:rsidRDefault="00E30C0A" w:rsidP="00E30C0A">
            <w:pPr>
              <w:spacing w:after="0" w:line="240" w:lineRule="auto"/>
              <w:ind w:left="0" w:right="0" w:firstLine="0"/>
              <w:jc w:val="left"/>
              <w:rPr>
                <w:rFonts w:ascii="Times New Roman" w:eastAsia="Times New Roman" w:hAnsi="Times New Roman" w:cs="Times New Roman"/>
                <w:color w:val="auto"/>
                <w:szCs w:val="20"/>
              </w:rPr>
            </w:pPr>
          </w:p>
        </w:tc>
      </w:tr>
      <w:tr w:rsidR="00E30C0A" w:rsidRPr="00E30C0A" w:rsidTr="00432387">
        <w:trPr>
          <w:jc w:val="center"/>
        </w:trPr>
        <w:tc>
          <w:tcPr>
            <w:tcW w:w="7195" w:type="dxa"/>
            <w:gridSpan w:val="3"/>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jc w:val="left"/>
              <w:rPr>
                <w:rFonts w:ascii="Arial" w:eastAsiaTheme="minorEastAsia" w:hAnsi="Arial" w:cs="Arial"/>
                <w:color w:val="auto"/>
                <w:sz w:val="16"/>
                <w:szCs w:val="24"/>
              </w:rPr>
            </w:pPr>
            <w:r w:rsidRPr="00E30C0A">
              <w:rPr>
                <w:rFonts w:ascii="Arial" w:eastAsiaTheme="minorEastAsia" w:hAnsi="Arial" w:cs="Arial"/>
                <w:b/>
                <w:color w:val="auto"/>
                <w:sz w:val="16"/>
                <w:szCs w:val="24"/>
              </w:rPr>
              <w:t>Lote: Iten Presépio Natal</w:t>
            </w:r>
          </w:p>
        </w:tc>
        <w:tc>
          <w:tcPr>
            <w:tcW w:w="72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heme="minorEastAsia" w:hAnsi="Arial" w:cs="Arial"/>
                <w:color w:val="auto"/>
                <w:sz w:val="16"/>
                <w:szCs w:val="24"/>
              </w:rPr>
            </w:pPr>
          </w:p>
        </w:tc>
        <w:tc>
          <w:tcPr>
            <w:tcW w:w="2880" w:type="dxa"/>
            <w:gridSpan w:val="2"/>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jc w:val="right"/>
              <w:outlineLvl w:val="1"/>
              <w:rPr>
                <w:rFonts w:ascii="Arial" w:eastAsia="Times New Roman" w:hAnsi="Arial" w:cs="Arial"/>
                <w:b/>
                <w:bCs/>
                <w:color w:val="auto"/>
                <w:sz w:val="36"/>
                <w:szCs w:val="36"/>
              </w:rPr>
            </w:pPr>
            <w:r w:rsidRPr="00E30C0A">
              <w:rPr>
                <w:rFonts w:ascii="Arial" w:eastAsia="Times New Roman" w:hAnsi="Arial" w:cs="Arial"/>
                <w:b/>
                <w:bCs/>
                <w:color w:val="auto"/>
                <w:sz w:val="16"/>
                <w:szCs w:val="36"/>
              </w:rPr>
              <w:t>Preço Total do Lote:</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jc w:val="right"/>
              <w:rPr>
                <w:rFonts w:ascii="Arial" w:eastAsiaTheme="minorEastAsia" w:hAnsi="Arial" w:cs="Arial"/>
                <w:color w:val="auto"/>
                <w:sz w:val="16"/>
                <w:szCs w:val="24"/>
              </w:rPr>
            </w:pPr>
            <w:r w:rsidRPr="00E30C0A">
              <w:rPr>
                <w:rFonts w:ascii="Arial" w:eastAsiaTheme="minorEastAsia" w:hAnsi="Arial" w:cs="Arial"/>
                <w:color w:val="auto"/>
                <w:sz w:val="15"/>
                <w:szCs w:val="15"/>
              </w:rPr>
              <w:t xml:space="preserve">20.054,00 </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b/>
                <w:bCs/>
                <w:color w:val="auto"/>
                <w:sz w:val="16"/>
                <w:szCs w:val="24"/>
              </w:rPr>
            </w:pPr>
            <w:r w:rsidRPr="00E30C0A">
              <w:rPr>
                <w:rFonts w:ascii="Arial" w:eastAsia="Times New Roman" w:hAnsi="Arial" w:cs="Arial"/>
                <w:b/>
                <w:bCs/>
                <w:color w:val="auto"/>
                <w:sz w:val="16"/>
                <w:szCs w:val="24"/>
              </w:rPr>
              <w:t>Item</w:t>
            </w:r>
          </w:p>
        </w:tc>
        <w:tc>
          <w:tcPr>
            <w:tcW w:w="126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b/>
                <w:bCs/>
                <w:color w:val="auto"/>
                <w:sz w:val="16"/>
                <w:szCs w:val="24"/>
              </w:rPr>
            </w:pPr>
            <w:r w:rsidRPr="00E30C0A">
              <w:rPr>
                <w:rFonts w:ascii="Arial" w:eastAsia="Times New Roman" w:hAnsi="Arial" w:cs="Arial"/>
                <w:b/>
                <w:bCs/>
                <w:color w:val="auto"/>
                <w:sz w:val="16"/>
                <w:szCs w:val="24"/>
              </w:rPr>
              <w:t>Quantidade</w:t>
            </w:r>
          </w:p>
        </w:tc>
        <w:tc>
          <w:tcPr>
            <w:tcW w:w="72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b/>
                <w:bCs/>
                <w:color w:val="auto"/>
                <w:sz w:val="16"/>
                <w:szCs w:val="24"/>
              </w:rPr>
            </w:pPr>
            <w:r w:rsidRPr="00E30C0A">
              <w:rPr>
                <w:rFonts w:ascii="Arial" w:eastAsia="Times New Roman" w:hAnsi="Arial" w:cs="Arial"/>
                <w:b/>
                <w:bCs/>
                <w:color w:val="auto"/>
                <w:sz w:val="16"/>
                <w:szCs w:val="24"/>
              </w:rPr>
              <w:t>Unid.</w:t>
            </w:r>
          </w:p>
        </w:tc>
        <w:tc>
          <w:tcPr>
            <w:tcW w:w="72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b/>
                <w:bCs/>
                <w:color w:val="auto"/>
                <w:sz w:val="16"/>
                <w:szCs w:val="24"/>
              </w:rPr>
            </w:pPr>
            <w:r w:rsidRPr="00E30C0A">
              <w:rPr>
                <w:rFonts w:ascii="Arial" w:eastAsia="Times New Roman" w:hAnsi="Arial" w:cs="Arial"/>
                <w:b/>
                <w:bCs/>
                <w:color w:val="auto"/>
                <w:sz w:val="16"/>
                <w:szCs w:val="24"/>
              </w:rPr>
              <w:t>Marca</w:t>
            </w:r>
          </w:p>
        </w:tc>
        <w:tc>
          <w:tcPr>
            <w:tcW w:w="5695"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b/>
                <w:bCs/>
                <w:color w:val="auto"/>
                <w:sz w:val="16"/>
                <w:szCs w:val="24"/>
              </w:rPr>
            </w:pPr>
            <w:r w:rsidRPr="00E30C0A">
              <w:rPr>
                <w:rFonts w:ascii="Arial" w:eastAsia="Times New Roman" w:hAnsi="Arial" w:cs="Arial"/>
                <w:b/>
                <w:bCs/>
                <w:color w:val="auto"/>
                <w:sz w:val="16"/>
                <w:szCs w:val="24"/>
              </w:rPr>
              <w:t>Descrição</w:t>
            </w:r>
          </w:p>
        </w:tc>
        <w:tc>
          <w:tcPr>
            <w:tcW w:w="126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b/>
                <w:bCs/>
                <w:color w:val="auto"/>
                <w:sz w:val="16"/>
                <w:szCs w:val="24"/>
              </w:rPr>
            </w:pPr>
            <w:r w:rsidRPr="00E30C0A">
              <w:rPr>
                <w:rFonts w:ascii="Arial" w:eastAsia="Times New Roman" w:hAnsi="Arial" w:cs="Arial"/>
                <w:b/>
                <w:bCs/>
                <w:color w:val="auto"/>
                <w:sz w:val="16"/>
                <w:szCs w:val="24"/>
              </w:rPr>
              <w:t>Preço Unit. Máximo</w:t>
            </w:r>
          </w:p>
        </w:tc>
        <w:tc>
          <w:tcPr>
            <w:tcW w:w="126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b/>
                <w:bCs/>
                <w:color w:val="auto"/>
                <w:sz w:val="16"/>
                <w:szCs w:val="24"/>
              </w:rPr>
            </w:pPr>
            <w:r w:rsidRPr="00E30C0A">
              <w:rPr>
                <w:rFonts w:ascii="Arial" w:eastAsia="Times New Roman" w:hAnsi="Arial" w:cs="Arial"/>
                <w:b/>
                <w:bCs/>
                <w:color w:val="auto"/>
                <w:sz w:val="16"/>
                <w:szCs w:val="24"/>
              </w:rPr>
              <w:t>Preço Total</w:t>
            </w:r>
          </w:p>
        </w:tc>
      </w:tr>
      <w:tr w:rsidR="00E30C0A" w:rsidRPr="00E30C0A" w:rsidTr="00432387">
        <w:trPr>
          <w:jc w:val="center"/>
        </w:trPr>
        <w:tc>
          <w:tcPr>
            <w:tcW w:w="6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27</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center"/>
              <w:rPr>
                <w:rFonts w:ascii="Arial" w:eastAsia="Times New Roman" w:hAnsi="Arial" w:cs="Arial"/>
                <w:color w:val="auto"/>
                <w:sz w:val="15"/>
                <w:szCs w:val="15"/>
              </w:rPr>
            </w:pPr>
            <w:r w:rsidRPr="00E30C0A">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before="100" w:beforeAutospacing="1" w:after="100" w:afterAutospacing="1" w:line="240" w:lineRule="auto"/>
              <w:ind w:left="0" w:right="0" w:firstLine="0"/>
              <w:rPr>
                <w:rFonts w:ascii="Arial" w:eastAsiaTheme="minorEastAsia" w:hAnsi="Arial" w:cs="Arial"/>
                <w:color w:val="auto"/>
                <w:sz w:val="16"/>
                <w:szCs w:val="24"/>
              </w:rPr>
            </w:pPr>
            <w:r w:rsidRPr="00E30C0A">
              <w:rPr>
                <w:rFonts w:ascii="Arial" w:eastAsiaTheme="minorEastAsia" w:hAnsi="Arial" w:cs="Arial"/>
                <w:color w:val="auto"/>
                <w:sz w:val="16"/>
                <w:szCs w:val="24"/>
              </w:rPr>
              <w:t xml:space="preserve">PRESÉPIO - CONFECÇÃO DE PEÇA DECORATIVA - JOSÉ - COM 1,85 CM DE ALTURA, CORPO EM 3D, COM ESTRUTURA INTERNA EM FERRO, MADEIRA, PLÁSTICO E ACABAMENTO EM RESINA. BARBA E CABELOS ONDULADOS EM FIOS DE NYLON (IMITANDO CABELO E BARBA NATURAL), OLHOS EM VIDRO E LANTERNA EM METAL SEGURANDO NA MÃO. VESTIMENTAS EM VELUDO, COURO, ALGODÃO E CETIM. TECIDOS COM ACABAMENTO ARAMADO PASSANDO LEVEZA, ENCANTAMENTO E MOVIMENTO NA PEÇA. - CONFECÇÃO DE PEÇA DECORATIVA - MARIA - COM 1,70 CM DE ALTURA, CORPO EM 3D, COM ESTRUTURA INTERNA EM FERRO, MADEIRA, PLÁSTICO E ACABAMENTO EM RESINA. CABELOS LONGOS EM FIOS DE NYLON (IMITANDO CABELO NATURAL), OLHOS EM VIDRO , FACE E SEMBLANTE " ANGELICAL", SEGURANDO MENINO JESUS EM SEUS BRAÇOS E ESTARÁ ENCOSTADA DE JOSÉ CRIANDO A REPRESENTAÇÃO DA FAMÍLIA SAGRADA NUM ELEO REPRESENTATIVO DE AMOR, AFETO E PAZ. VESTIMENTAS EM VELUDO, COURO, ALGODÃO E CETIM. TECIDOS COM ACABAMENTO ARAMADO PASSANDO LEVEZA, ENCANTAMENTO E MOVIMENTO NA PEÇA. - CONFECÇÃO DE PEÇA DECORATIVA - MENINO JESUS - COM TAMANHO APROXIMADO DE UM RECÉM NASCIDO COM 0,50 CM, CORPO EM 3D, TODA EM BORRACHA, COM OLHOS EM VIDRO, ENVOLTO EM TECIDOS COMO ALGODÃO, CETIM E VELUDOS. - CONFECÇÃO DE PEÇA DECORATIVA - MANJEDOURA, EM MADEIRA COM ACABAMENTO EM TECIDOS PARA SER POSICIONDA AO LADO DE JOSÉ, MARIA E MENINO JESUS, NO TAMANHO PROPORCIONAL AO TAMANHO DO MENINO JESUS.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 xml:space="preserve">20.054,00 </w:t>
            </w:r>
          </w:p>
        </w:tc>
        <w:tc>
          <w:tcPr>
            <w:tcW w:w="1440" w:type="dxa"/>
            <w:tcBorders>
              <w:top w:val="single" w:sz="4" w:space="0" w:color="auto"/>
              <w:left w:val="single" w:sz="4" w:space="0" w:color="auto"/>
              <w:bottom w:val="single" w:sz="4" w:space="0" w:color="auto"/>
              <w:right w:val="single" w:sz="4" w:space="0" w:color="auto"/>
            </w:tcBorders>
            <w:hideMark/>
          </w:tcPr>
          <w:p w:rsidR="00E30C0A" w:rsidRPr="00E30C0A" w:rsidRDefault="00E30C0A" w:rsidP="00E30C0A">
            <w:pPr>
              <w:spacing w:after="0" w:line="240" w:lineRule="auto"/>
              <w:ind w:left="0" w:right="0" w:firstLine="0"/>
              <w:jc w:val="right"/>
              <w:rPr>
                <w:rFonts w:ascii="Arial" w:eastAsia="Times New Roman" w:hAnsi="Arial" w:cs="Arial"/>
                <w:color w:val="auto"/>
                <w:sz w:val="15"/>
                <w:szCs w:val="15"/>
              </w:rPr>
            </w:pPr>
            <w:r w:rsidRPr="00E30C0A">
              <w:rPr>
                <w:rFonts w:ascii="Arial" w:eastAsia="Times New Roman" w:hAnsi="Arial" w:cs="Arial"/>
                <w:color w:val="auto"/>
                <w:sz w:val="15"/>
                <w:szCs w:val="15"/>
              </w:rPr>
              <w:t>20054,00</w:t>
            </w:r>
          </w:p>
        </w:tc>
      </w:tr>
    </w:tbl>
    <w:p w:rsidR="005B0E37" w:rsidRDefault="005B0E37" w:rsidP="005B0E37">
      <w:pPr>
        <w:spacing w:after="0" w:line="259" w:lineRule="auto"/>
        <w:ind w:right="0" w:firstLine="0"/>
        <w:jc w:val="left"/>
        <w:rPr>
          <w:rFonts w:ascii="Times New Roman" w:hAnsi="Times New Roman" w:cs="Times New Roman"/>
          <w:sz w:val="22"/>
        </w:rPr>
      </w:pPr>
    </w:p>
    <w:p w:rsidR="00EB5290" w:rsidRPr="001C0AE1" w:rsidRDefault="00EB5290" w:rsidP="005B0E37">
      <w:pPr>
        <w:spacing w:after="0" w:line="259" w:lineRule="auto"/>
        <w:ind w:right="0" w:firstLine="0"/>
        <w:jc w:val="left"/>
        <w:rPr>
          <w:rFonts w:ascii="Times New Roman" w:hAnsi="Times New Roman" w:cs="Times New Roman"/>
          <w:sz w:val="22"/>
        </w:rPr>
      </w:pPr>
    </w:p>
    <w:p w:rsidR="00EB5290" w:rsidRDefault="00EB5290" w:rsidP="009579D1">
      <w:pPr>
        <w:spacing w:before="120" w:after="120" w:line="276" w:lineRule="auto"/>
        <w:ind w:left="426" w:firstLine="0"/>
        <w:rPr>
          <w:rFonts w:ascii="Times New Roman" w:hAnsi="Times New Roman" w:cs="Times New Roman"/>
          <w:b/>
          <w:sz w:val="22"/>
        </w:rPr>
      </w:pPr>
      <w:r>
        <w:rPr>
          <w:rFonts w:ascii="Times New Roman" w:hAnsi="Times New Roman" w:cs="Times New Roman"/>
          <w:b/>
          <w:sz w:val="22"/>
        </w:rPr>
        <w:t>1.1.1 – Decoração dos postes de iluminação pública nas seguintes localizações: Avenida do Município de Cordilheira Alta, Centro Administrativo Municipal, Igreja localizada no centro, Igreja localizada em Fernando Machado, Igreja localizada em Linha Bento Gonçalves, Praça Affonso Berté, mini rótula da avenida e trevo de acesso.</w:t>
      </w:r>
    </w:p>
    <w:p w:rsidR="00EB5290" w:rsidRDefault="00EB5290" w:rsidP="009579D1">
      <w:pPr>
        <w:spacing w:before="120" w:after="120" w:line="276" w:lineRule="auto"/>
        <w:ind w:left="426" w:firstLine="0"/>
        <w:rPr>
          <w:rFonts w:ascii="Times New Roman" w:hAnsi="Times New Roman" w:cs="Times New Roman"/>
          <w:b/>
          <w:sz w:val="22"/>
        </w:rPr>
      </w:pPr>
    </w:p>
    <w:p w:rsidR="009579D1" w:rsidRPr="001C0AE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2 - JUSTIFICATIVA E OBJETIVO DA AQUISIÇÃO</w:t>
      </w:r>
    </w:p>
    <w:p w:rsidR="00AE7E0B" w:rsidRPr="001C0AE1" w:rsidRDefault="009579D1" w:rsidP="00B747BA">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2.1</w:t>
      </w:r>
      <w:r w:rsidRPr="001C0AE1">
        <w:rPr>
          <w:rFonts w:ascii="Times New Roman" w:hAnsi="Times New Roman" w:cs="Times New Roman"/>
          <w:sz w:val="22"/>
        </w:rPr>
        <w:tab/>
        <w:t xml:space="preserve">- </w:t>
      </w:r>
      <w:r w:rsidR="00B747BA">
        <w:rPr>
          <w:rFonts w:ascii="Times New Roman" w:hAnsi="Times New Roman" w:cs="Times New Roman"/>
          <w:sz w:val="22"/>
        </w:rPr>
        <w:t xml:space="preserve">Justifica-se a </w:t>
      </w:r>
      <w:r w:rsidR="000E039C">
        <w:rPr>
          <w:rFonts w:ascii="Times New Roman" w:hAnsi="Times New Roman" w:cs="Times New Roman"/>
          <w:sz w:val="22"/>
        </w:rPr>
        <w:t xml:space="preserve">presente </w:t>
      </w:r>
      <w:r w:rsidR="00B747BA">
        <w:rPr>
          <w:rFonts w:ascii="Times New Roman" w:hAnsi="Times New Roman" w:cs="Times New Roman"/>
          <w:sz w:val="22"/>
        </w:rPr>
        <w:t>so</w:t>
      </w:r>
      <w:r w:rsidR="000E039C">
        <w:rPr>
          <w:rFonts w:ascii="Times New Roman" w:hAnsi="Times New Roman" w:cs="Times New Roman"/>
          <w:sz w:val="22"/>
        </w:rPr>
        <w:t xml:space="preserve">licitação de locação dos materiais natalinos e a confecção de peças decorativas para o presépio com o objetivo de promover e manter viva as tradições natalinas e a essência de seus símbolos, promovendo a arte e a cultura através das festividades de natal que acontecerão no mês de dezembro do corrente ano, conservando o espirito natalino na municipalidade. </w:t>
      </w:r>
    </w:p>
    <w:p w:rsidR="001C0AE1" w:rsidRDefault="001C0AE1" w:rsidP="00CA781B">
      <w:pPr>
        <w:spacing w:before="120" w:after="120" w:line="276" w:lineRule="auto"/>
        <w:ind w:left="426" w:firstLine="0"/>
        <w:rPr>
          <w:rFonts w:ascii="Times New Roman" w:hAnsi="Times New Roman" w:cs="Times New Roman"/>
          <w:b/>
          <w:sz w:val="22"/>
        </w:rPr>
      </w:pPr>
    </w:p>
    <w:p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CA781B" w:rsidRDefault="000E039C" w:rsidP="00CA781B">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3.1 </w:t>
      </w:r>
      <w:r w:rsidRPr="000B3713">
        <w:rPr>
          <w:rFonts w:ascii="Times New Roman" w:hAnsi="Times New Roman" w:cs="Times New Roman"/>
          <w:iCs/>
          <w:sz w:val="22"/>
          <w:u w:val="single"/>
        </w:rPr>
        <w:t>O prazo de entrega dos materiais</w:t>
      </w:r>
      <w:r w:rsidR="00EB5290">
        <w:rPr>
          <w:rFonts w:ascii="Times New Roman" w:hAnsi="Times New Roman" w:cs="Times New Roman"/>
          <w:iCs/>
          <w:sz w:val="22"/>
          <w:u w:val="single"/>
        </w:rPr>
        <w:t xml:space="preserve"> natalinos para decoração dos postes</w:t>
      </w:r>
      <w:r w:rsidR="00CA781B" w:rsidRPr="000B3713">
        <w:rPr>
          <w:rFonts w:ascii="Times New Roman" w:hAnsi="Times New Roman" w:cs="Times New Roman"/>
          <w:iCs/>
          <w:sz w:val="22"/>
          <w:u w:val="single"/>
        </w:rPr>
        <w:t xml:space="preserve"> é em até </w:t>
      </w:r>
      <w:r w:rsidRPr="000B3713">
        <w:rPr>
          <w:rFonts w:ascii="Times New Roman" w:hAnsi="Times New Roman" w:cs="Times New Roman"/>
          <w:iCs/>
          <w:sz w:val="22"/>
          <w:u w:val="single"/>
        </w:rPr>
        <w:t>10 (dez</w:t>
      </w:r>
      <w:r w:rsidR="008057CD" w:rsidRPr="000B3713">
        <w:rPr>
          <w:rFonts w:ascii="Times New Roman" w:hAnsi="Times New Roman" w:cs="Times New Roman"/>
          <w:iCs/>
          <w:sz w:val="22"/>
          <w:u w:val="single"/>
        </w:rPr>
        <w:t>)</w:t>
      </w:r>
      <w:r w:rsidR="00CA781B" w:rsidRPr="000B3713">
        <w:rPr>
          <w:rFonts w:ascii="Times New Roman" w:hAnsi="Times New Roman" w:cs="Times New Roman"/>
          <w:iCs/>
          <w:sz w:val="22"/>
          <w:u w:val="single"/>
        </w:rPr>
        <w:t xml:space="preserve"> dias</w:t>
      </w:r>
      <w:r w:rsidR="00CA781B" w:rsidRPr="001C0AE1">
        <w:rPr>
          <w:rFonts w:ascii="Times New Roman" w:hAnsi="Times New Roman" w:cs="Times New Roman"/>
          <w:iCs/>
          <w:sz w:val="22"/>
        </w:rPr>
        <w:t>, contados da Autorização de Fornecimento, em remessa</w:t>
      </w:r>
      <w:r w:rsidR="00E66E58" w:rsidRPr="001C0AE1">
        <w:rPr>
          <w:rFonts w:ascii="Times New Roman" w:hAnsi="Times New Roman" w:cs="Times New Roman"/>
          <w:iCs/>
          <w:sz w:val="22"/>
        </w:rPr>
        <w:t xml:space="preserve"> </w:t>
      </w:r>
      <w:r>
        <w:rPr>
          <w:rFonts w:ascii="Times New Roman" w:hAnsi="Times New Roman" w:cs="Times New Roman"/>
          <w:iCs/>
          <w:sz w:val="22"/>
        </w:rPr>
        <w:t>única</w:t>
      </w:r>
      <w:r w:rsidR="00CA781B" w:rsidRPr="001C0AE1">
        <w:rPr>
          <w:rFonts w:ascii="Times New Roman" w:hAnsi="Times New Roman" w:cs="Times New Roman"/>
          <w:iCs/>
          <w:sz w:val="22"/>
        </w:rPr>
        <w:t xml:space="preserve">, no </w:t>
      </w:r>
      <w:r w:rsidR="008057CD" w:rsidRPr="001C0AE1">
        <w:rPr>
          <w:rFonts w:ascii="Times New Roman" w:hAnsi="Times New Roman" w:cs="Times New Roman"/>
          <w:iCs/>
          <w:sz w:val="22"/>
        </w:rPr>
        <w:t>endereço discriminado na AF.</w:t>
      </w:r>
    </w:p>
    <w:p w:rsidR="00EB5290" w:rsidRPr="00EB5290" w:rsidRDefault="00EB5290" w:rsidP="00CA781B">
      <w:pPr>
        <w:spacing w:before="120" w:after="120" w:line="276" w:lineRule="auto"/>
        <w:ind w:left="426" w:firstLine="0"/>
        <w:rPr>
          <w:rFonts w:ascii="Times New Roman" w:hAnsi="Times New Roman" w:cs="Times New Roman"/>
          <w:iCs/>
          <w:sz w:val="22"/>
        </w:rPr>
      </w:pPr>
      <w:r>
        <w:rPr>
          <w:rFonts w:ascii="Times New Roman" w:hAnsi="Times New Roman" w:cs="Times New Roman"/>
          <w:iCs/>
          <w:sz w:val="22"/>
        </w:rPr>
        <w:t xml:space="preserve">3.1.1. </w:t>
      </w:r>
      <w:r>
        <w:rPr>
          <w:rFonts w:ascii="Times New Roman" w:hAnsi="Times New Roman" w:cs="Times New Roman"/>
          <w:iCs/>
          <w:sz w:val="22"/>
          <w:u w:val="single"/>
        </w:rPr>
        <w:t xml:space="preserve">O prazo de entrega das peças para o presépio </w:t>
      </w:r>
      <w:r w:rsidRPr="000B3713">
        <w:rPr>
          <w:rFonts w:ascii="Times New Roman" w:hAnsi="Times New Roman" w:cs="Times New Roman"/>
          <w:iCs/>
          <w:sz w:val="22"/>
          <w:u w:val="single"/>
        </w:rPr>
        <w:t xml:space="preserve">é em até </w:t>
      </w:r>
      <w:r>
        <w:rPr>
          <w:rFonts w:ascii="Times New Roman" w:hAnsi="Times New Roman" w:cs="Times New Roman"/>
          <w:iCs/>
          <w:sz w:val="22"/>
          <w:u w:val="single"/>
        </w:rPr>
        <w:t>15</w:t>
      </w:r>
      <w:r w:rsidRPr="000B3713">
        <w:rPr>
          <w:rFonts w:ascii="Times New Roman" w:hAnsi="Times New Roman" w:cs="Times New Roman"/>
          <w:iCs/>
          <w:sz w:val="22"/>
          <w:u w:val="single"/>
        </w:rPr>
        <w:t xml:space="preserve"> (</w:t>
      </w:r>
      <w:r>
        <w:rPr>
          <w:rFonts w:ascii="Times New Roman" w:hAnsi="Times New Roman" w:cs="Times New Roman"/>
          <w:iCs/>
          <w:sz w:val="22"/>
          <w:u w:val="single"/>
        </w:rPr>
        <w:t>quinze</w:t>
      </w:r>
      <w:r w:rsidRPr="000B3713">
        <w:rPr>
          <w:rFonts w:ascii="Times New Roman" w:hAnsi="Times New Roman" w:cs="Times New Roman"/>
          <w:iCs/>
          <w:sz w:val="22"/>
          <w:u w:val="single"/>
        </w:rPr>
        <w:t>) dias</w:t>
      </w:r>
      <w:r w:rsidRPr="001C0AE1">
        <w:rPr>
          <w:rFonts w:ascii="Times New Roman" w:hAnsi="Times New Roman" w:cs="Times New Roman"/>
          <w:iCs/>
          <w:sz w:val="22"/>
        </w:rPr>
        <w:t xml:space="preserve">, contados da Autorização de Fornecimento, em remessa </w:t>
      </w:r>
      <w:r>
        <w:rPr>
          <w:rFonts w:ascii="Times New Roman" w:hAnsi="Times New Roman" w:cs="Times New Roman"/>
          <w:iCs/>
          <w:sz w:val="22"/>
        </w:rPr>
        <w:t>única</w:t>
      </w:r>
      <w:r w:rsidRPr="001C0AE1">
        <w:rPr>
          <w:rFonts w:ascii="Times New Roman" w:hAnsi="Times New Roman" w:cs="Times New Roman"/>
          <w:iCs/>
          <w:sz w:val="22"/>
        </w:rPr>
        <w:t>, no endereço discriminado na AF.</w:t>
      </w:r>
    </w:p>
    <w:p w:rsidR="00CA781B" w:rsidRPr="001C0AE1" w:rsidRDefault="000E039C" w:rsidP="00CA781B">
      <w:pPr>
        <w:spacing w:before="120" w:after="120" w:line="276" w:lineRule="auto"/>
        <w:ind w:left="426" w:firstLine="0"/>
        <w:rPr>
          <w:rFonts w:ascii="Times New Roman" w:hAnsi="Times New Roman" w:cs="Times New Roman"/>
          <w:b/>
          <w:bCs/>
          <w:sz w:val="22"/>
        </w:rPr>
      </w:pPr>
      <w:r>
        <w:rPr>
          <w:rFonts w:ascii="Times New Roman" w:hAnsi="Times New Roman" w:cs="Times New Roman"/>
          <w:sz w:val="22"/>
        </w:rPr>
        <w:t>3.1.1</w:t>
      </w:r>
      <w:r w:rsidR="00EB5290">
        <w:rPr>
          <w:rFonts w:ascii="Times New Roman" w:hAnsi="Times New Roman" w:cs="Times New Roman"/>
          <w:sz w:val="22"/>
        </w:rPr>
        <w:t>.1</w:t>
      </w:r>
      <w:r>
        <w:rPr>
          <w:rFonts w:ascii="Times New Roman" w:hAnsi="Times New Roman" w:cs="Times New Roman"/>
          <w:sz w:val="22"/>
        </w:rPr>
        <w:t xml:space="preserve"> - Os materiais</w:t>
      </w:r>
      <w:r w:rsidR="00CA781B" w:rsidRPr="001C0AE1">
        <w:rPr>
          <w:rFonts w:ascii="Times New Roman" w:hAnsi="Times New Roman" w:cs="Times New Roman"/>
          <w:sz w:val="22"/>
        </w:rPr>
        <w:t xml:space="preserve"> serão recebidos provisoriamente no prazo de </w:t>
      </w:r>
      <w:r w:rsidR="008057CD" w:rsidRPr="001C0AE1">
        <w:rPr>
          <w:rFonts w:ascii="Times New Roman" w:hAnsi="Times New Roman" w:cs="Times New Roman"/>
          <w:sz w:val="22"/>
        </w:rPr>
        <w:t>05</w:t>
      </w:r>
      <w:r w:rsidR="00CA781B" w:rsidRPr="001C0AE1">
        <w:rPr>
          <w:rFonts w:ascii="Times New Roman" w:hAnsi="Times New Roman" w:cs="Times New Roman"/>
          <w:sz w:val="22"/>
        </w:rPr>
        <w:t xml:space="preserve"> (</w:t>
      </w:r>
      <w:r w:rsidR="008057CD" w:rsidRPr="001C0AE1">
        <w:rPr>
          <w:rFonts w:ascii="Times New Roman" w:hAnsi="Times New Roman" w:cs="Times New Roman"/>
          <w:sz w:val="22"/>
        </w:rPr>
        <w:t>cinco</w:t>
      </w:r>
      <w:r w:rsidR="00EB339E" w:rsidRPr="001C0AE1">
        <w:rPr>
          <w:rFonts w:ascii="Times New Roman" w:hAnsi="Times New Roman" w:cs="Times New Roman"/>
          <w:sz w:val="22"/>
        </w:rPr>
        <w:t>)</w:t>
      </w:r>
      <w:r w:rsidR="00CA781B" w:rsidRPr="001C0AE1">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CA781B" w:rsidRPr="001C0AE1" w:rsidRDefault="00CA781B" w:rsidP="00CA781B">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bCs/>
          <w:sz w:val="22"/>
        </w:rPr>
        <w:t xml:space="preserve">3.2 - Os </w:t>
      </w:r>
      <w:r w:rsidR="000E039C">
        <w:rPr>
          <w:rFonts w:ascii="Times New Roman" w:hAnsi="Times New Roman" w:cs="Times New Roman"/>
          <w:sz w:val="22"/>
        </w:rPr>
        <w:t>materiais</w:t>
      </w:r>
      <w:r w:rsidRPr="001C0AE1">
        <w:rPr>
          <w:rFonts w:ascii="Times New Roman" w:hAnsi="Times New Roman" w:cs="Times New Roman"/>
          <w:bCs/>
          <w:sz w:val="22"/>
        </w:rPr>
        <w:t xml:space="preserve"> poderão ser rejeitados, no todo ou em parte, quando em desacordo com as especificações constantes neste Termo de Referência e na proposta, devendo ser substituídos no prazo de </w:t>
      </w:r>
      <w:r w:rsidR="00E118F9">
        <w:rPr>
          <w:rFonts w:ascii="Times New Roman" w:hAnsi="Times New Roman" w:cs="Times New Roman"/>
          <w:bCs/>
          <w:sz w:val="22"/>
        </w:rPr>
        <w:t>24 (vinte e quatro) horas</w:t>
      </w:r>
      <w:r w:rsidRPr="001C0AE1">
        <w:rPr>
          <w:rFonts w:ascii="Times New Roman" w:hAnsi="Times New Roman" w:cs="Times New Roman"/>
          <w:bCs/>
          <w:sz w:val="22"/>
        </w:rPr>
        <w:t>, a contar da notificação da contratada, às suas custas, sem prejuízo da aplicação das penalidades.</w:t>
      </w:r>
    </w:p>
    <w:p w:rsidR="00CA781B" w:rsidRPr="001C0AE1" w:rsidRDefault="000E039C" w:rsidP="00CA781B">
      <w:pPr>
        <w:spacing w:before="120" w:after="120" w:line="276" w:lineRule="auto"/>
        <w:ind w:left="426" w:firstLine="0"/>
        <w:rPr>
          <w:rFonts w:ascii="Times New Roman" w:hAnsi="Times New Roman" w:cs="Times New Roman"/>
          <w:bCs/>
          <w:sz w:val="22"/>
        </w:rPr>
      </w:pPr>
      <w:r>
        <w:rPr>
          <w:rFonts w:ascii="Times New Roman" w:hAnsi="Times New Roman" w:cs="Times New Roman"/>
          <w:sz w:val="22"/>
        </w:rPr>
        <w:t>3.3 - Os materiais</w:t>
      </w:r>
      <w:r w:rsidR="00CA781B" w:rsidRPr="001C0AE1">
        <w:rPr>
          <w:rFonts w:ascii="Times New Roman" w:hAnsi="Times New Roman" w:cs="Times New Roman"/>
          <w:sz w:val="22"/>
        </w:rPr>
        <w:t xml:space="preserve"> serão recebidos definitivamente no prazo de </w:t>
      </w:r>
      <w:r w:rsidR="008057CD" w:rsidRPr="001C0AE1">
        <w:rPr>
          <w:rFonts w:ascii="Times New Roman" w:hAnsi="Times New Roman" w:cs="Times New Roman"/>
          <w:sz w:val="22"/>
        </w:rPr>
        <w:t>03</w:t>
      </w:r>
      <w:r w:rsidR="00EB339E" w:rsidRPr="001C0AE1">
        <w:rPr>
          <w:rFonts w:ascii="Times New Roman" w:hAnsi="Times New Roman" w:cs="Times New Roman"/>
          <w:sz w:val="22"/>
        </w:rPr>
        <w:t xml:space="preserve"> (</w:t>
      </w:r>
      <w:r w:rsidR="008057CD" w:rsidRPr="001C0AE1">
        <w:rPr>
          <w:rFonts w:ascii="Times New Roman" w:hAnsi="Times New Roman" w:cs="Times New Roman"/>
          <w:sz w:val="22"/>
        </w:rPr>
        <w:t>três</w:t>
      </w:r>
      <w:r w:rsidR="00EB339E" w:rsidRPr="001C0AE1">
        <w:rPr>
          <w:rFonts w:ascii="Times New Roman" w:hAnsi="Times New Roman" w:cs="Times New Roman"/>
          <w:sz w:val="22"/>
        </w:rPr>
        <w:t>)</w:t>
      </w:r>
      <w:r w:rsidR="00CA781B" w:rsidRPr="001C0AE1">
        <w:rPr>
          <w:rFonts w:ascii="Times New Roman" w:hAnsi="Times New Roman" w:cs="Times New Roman"/>
          <w:sz w:val="22"/>
        </w:rPr>
        <w:t xml:space="preserve"> dias, contados do recebimento provisório, após a verificação da qualidade e quantidade do material e consequente aceitação mediante termo circunstanciado.</w:t>
      </w:r>
    </w:p>
    <w:p w:rsidR="00CA781B" w:rsidRPr="001C0AE1" w:rsidRDefault="00CA781B" w:rsidP="00CA781B">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rsidR="00CA781B" w:rsidRDefault="00CA781B" w:rsidP="00CA781B">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3.4 - O recebimento provisório ou definitivo do objeto não exclui a responsabilidade da contratada pelos prejuízos resultantes da incorreta execução do contrato.</w:t>
      </w:r>
    </w:p>
    <w:p w:rsidR="00B4259F" w:rsidRDefault="00B4259F" w:rsidP="00CA781B">
      <w:pPr>
        <w:spacing w:before="120" w:after="120" w:line="276" w:lineRule="auto"/>
        <w:ind w:left="426" w:firstLine="0"/>
        <w:rPr>
          <w:rFonts w:ascii="Times New Roman" w:hAnsi="Times New Roman" w:cs="Times New Roman"/>
          <w:sz w:val="22"/>
        </w:rPr>
      </w:pPr>
      <w:r>
        <w:rPr>
          <w:rFonts w:ascii="Times New Roman" w:hAnsi="Times New Roman" w:cs="Times New Roman"/>
          <w:sz w:val="22"/>
        </w:rPr>
        <w:t>3.5 – A contratada fica responsável pelo transporte de ida e volta dos materiais, bem como da entrega e retirada dos mesmos, em local a ser definido na autorização de fornecimento emitido pelo departamento de compras do Município de Cordilheira Alta/SC.</w:t>
      </w:r>
    </w:p>
    <w:p w:rsidR="00CC66E2" w:rsidRDefault="00CC66E2" w:rsidP="00CA781B">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3.5.1 - </w:t>
      </w:r>
      <w:r w:rsidRPr="00CC66E2">
        <w:rPr>
          <w:rFonts w:ascii="Times New Roman" w:hAnsi="Times New Roman" w:cs="Times New Roman"/>
          <w:sz w:val="22"/>
        </w:rPr>
        <w:t>Fica a cargo da empresa contratada fornecer a mão de obra para carga e descarga dos materiais, além do frete para transporte dos itens até o local citado no item</w:t>
      </w:r>
      <w:r>
        <w:rPr>
          <w:rFonts w:ascii="Times New Roman" w:hAnsi="Times New Roman" w:cs="Times New Roman"/>
          <w:sz w:val="22"/>
        </w:rPr>
        <w:t xml:space="preserve"> 3.5.</w:t>
      </w:r>
    </w:p>
    <w:p w:rsidR="000E039C" w:rsidRDefault="00B4259F" w:rsidP="00CA781B">
      <w:pPr>
        <w:spacing w:before="120" w:after="120" w:line="276" w:lineRule="auto"/>
        <w:ind w:left="426" w:firstLine="0"/>
        <w:rPr>
          <w:rFonts w:ascii="Times New Roman" w:hAnsi="Times New Roman" w:cs="Times New Roman"/>
          <w:sz w:val="22"/>
          <w:u w:val="single"/>
        </w:rPr>
      </w:pPr>
      <w:r>
        <w:rPr>
          <w:rFonts w:ascii="Times New Roman" w:hAnsi="Times New Roman" w:cs="Times New Roman"/>
          <w:sz w:val="22"/>
        </w:rPr>
        <w:t>3.6</w:t>
      </w:r>
      <w:r w:rsidR="000E039C">
        <w:rPr>
          <w:rFonts w:ascii="Times New Roman" w:hAnsi="Times New Roman" w:cs="Times New Roman"/>
          <w:sz w:val="22"/>
        </w:rPr>
        <w:t xml:space="preserve"> – </w:t>
      </w:r>
      <w:r w:rsidR="000E039C" w:rsidRPr="000B3713">
        <w:rPr>
          <w:rFonts w:ascii="Times New Roman" w:hAnsi="Times New Roman" w:cs="Times New Roman"/>
          <w:sz w:val="22"/>
          <w:u w:val="single"/>
        </w:rPr>
        <w:t>A retirada dos materiais deverá ocorrer até o dia 18 de janeiro de 2022, o Município de Cordilheira Alta comunicará</w:t>
      </w:r>
      <w:r w:rsidR="000B3713" w:rsidRPr="000B3713">
        <w:rPr>
          <w:rFonts w:ascii="Times New Roman" w:hAnsi="Times New Roman" w:cs="Times New Roman"/>
          <w:sz w:val="22"/>
          <w:u w:val="single"/>
        </w:rPr>
        <w:t xml:space="preserve"> a empresa da retirada.</w:t>
      </w:r>
    </w:p>
    <w:p w:rsidR="00E118F9" w:rsidRPr="000B3713" w:rsidRDefault="00E118F9" w:rsidP="00CA781B">
      <w:pPr>
        <w:spacing w:before="120" w:after="120" w:line="276" w:lineRule="auto"/>
        <w:ind w:left="426" w:firstLine="0"/>
        <w:rPr>
          <w:rFonts w:ascii="Times New Roman" w:hAnsi="Times New Roman" w:cs="Times New Roman"/>
          <w:sz w:val="22"/>
          <w:u w:val="single"/>
        </w:rPr>
      </w:pPr>
      <w:r>
        <w:rPr>
          <w:rFonts w:ascii="Times New Roman" w:hAnsi="Times New Roman" w:cs="Times New Roman"/>
          <w:sz w:val="22"/>
          <w:u w:val="single"/>
        </w:rPr>
        <w:t xml:space="preserve">3.7 - </w:t>
      </w:r>
      <w:r w:rsidRPr="00E118F9">
        <w:rPr>
          <w:rFonts w:ascii="Times New Roman" w:hAnsi="Times New Roman" w:cs="Times New Roman"/>
          <w:sz w:val="22"/>
          <w:u w:val="single"/>
        </w:rPr>
        <w:t>Será verificado o pleno funcionamento de todos os itens no ato da entrega dos mesmos</w:t>
      </w:r>
      <w:r>
        <w:rPr>
          <w:rFonts w:ascii="Times New Roman" w:hAnsi="Times New Roman" w:cs="Times New Roman"/>
          <w:sz w:val="22"/>
          <w:u w:val="single"/>
        </w:rPr>
        <w:t>.</w:t>
      </w:r>
    </w:p>
    <w:p w:rsidR="009579D1" w:rsidRPr="001C0AE1" w:rsidRDefault="009579D1" w:rsidP="009579D1">
      <w:pPr>
        <w:spacing w:before="120" w:after="120" w:line="276" w:lineRule="auto"/>
        <w:ind w:left="426" w:firstLine="0"/>
        <w:rPr>
          <w:rFonts w:ascii="Times New Roman" w:hAnsi="Times New Roman" w:cs="Times New Roman"/>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1C0AE1">
        <w:rPr>
          <w:rFonts w:ascii="Times New Roman" w:hAnsi="Times New Roman" w:cs="Times New Roman"/>
          <w:sz w:val="22"/>
        </w:rPr>
        <w:t>5.1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00E118F9">
        <w:rPr>
          <w:rFonts w:ascii="Times New Roman" w:hAnsi="Times New Roman" w:cs="Times New Roman"/>
          <w:sz w:val="22"/>
        </w:rPr>
        <w:t>Não haverá prestação de garantia</w:t>
      </w:r>
      <w:r w:rsidR="00E66E58" w:rsidRPr="001C0AE1">
        <w:rPr>
          <w:rFonts w:ascii="Times New Roman" w:hAnsi="Times New Roman" w:cs="Times New Roman"/>
          <w:sz w:val="22"/>
        </w:rPr>
        <w:t>.</w:t>
      </w:r>
    </w:p>
    <w:p w:rsidR="00E66E58" w:rsidRPr="001C0AE1" w:rsidRDefault="00E66E58" w:rsidP="008057CD">
      <w:pPr>
        <w:spacing w:after="9"/>
        <w:ind w:left="0" w:right="94" w:firstLine="0"/>
        <w:rPr>
          <w:rFonts w:ascii="Times New Roman" w:hAnsi="Times New Roman" w:cs="Times New Roman"/>
          <w:sz w:val="22"/>
        </w:rPr>
      </w:pP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6. AMOSTRA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E118F9" w:rsidRPr="00E118F9" w:rsidRDefault="00E118F9" w:rsidP="00E118F9">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8.7 -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E66E58" w:rsidRPr="001C0AE1" w:rsidRDefault="00E66E58"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5B0E37" w:rsidP="005B0E37">
      <w:pPr>
        <w:ind w:left="426" w:firstLine="0"/>
        <w:rPr>
          <w:rFonts w:ascii="Times New Roman" w:hAnsi="Times New Roman" w:cs="Times New Roman"/>
          <w:sz w:val="22"/>
          <w:lang w:eastAsia="zh-CN"/>
        </w:rPr>
      </w:pPr>
      <w:r w:rsidRPr="001C0AE1">
        <w:rPr>
          <w:rFonts w:ascii="Times New Roman" w:hAnsi="Times New Roman" w:cs="Times New Roman"/>
          <w:sz w:val="22"/>
          <w:lang w:eastAsia="en-US"/>
        </w:rPr>
        <w:t xml:space="preserve">10.1.1 - </w:t>
      </w:r>
      <w:r w:rsidRPr="001C0AE1">
        <w:rPr>
          <w:rFonts w:ascii="Times New Roman" w:hAnsi="Times New Roman" w:cs="Times New Roman"/>
          <w:sz w:val="22"/>
          <w:lang w:eastAsia="zh-CN"/>
        </w:rPr>
        <w:t>A execução do contrato será acompanhada e fiscalizada pel</w:t>
      </w:r>
      <w:r w:rsidR="00B71D41" w:rsidRPr="001C0AE1">
        <w:rPr>
          <w:rFonts w:ascii="Times New Roman" w:hAnsi="Times New Roman" w:cs="Times New Roman"/>
          <w:sz w:val="22"/>
          <w:lang w:eastAsia="zh-CN"/>
        </w:rPr>
        <w:t xml:space="preserve">a </w:t>
      </w:r>
      <w:r w:rsidR="008057CD" w:rsidRPr="001C0AE1">
        <w:rPr>
          <w:rFonts w:ascii="Times New Roman" w:hAnsi="Times New Roman" w:cs="Times New Roman"/>
          <w:color w:val="FF0000"/>
          <w:sz w:val="22"/>
          <w:lang w:eastAsia="zh-CN"/>
        </w:rPr>
        <w:t>Sonia Cristina Della Torres Briancini, matricula n° 854/01</w:t>
      </w:r>
      <w:r w:rsidR="00E66E58" w:rsidRPr="001C0AE1">
        <w:rPr>
          <w:rFonts w:ascii="Times New Roman" w:hAnsi="Times New Roman" w:cs="Times New Roman"/>
          <w:color w:val="FF0000"/>
          <w:sz w:val="22"/>
          <w:lang w:eastAsia="zh-CN"/>
        </w:rPr>
        <w:t xml:space="preserve">, </w:t>
      </w:r>
      <w:r w:rsidRPr="001C0AE1">
        <w:rPr>
          <w:rFonts w:ascii="Times New Roman" w:hAnsi="Times New Roman" w:cs="Times New Roman"/>
          <w:sz w:val="22"/>
          <w:lang w:eastAsia="zh-CN"/>
        </w:rPr>
        <w:t>que atuará co</w:t>
      </w:r>
      <w:r w:rsidR="00B71D41" w:rsidRPr="001C0AE1">
        <w:rPr>
          <w:rFonts w:ascii="Times New Roman" w:hAnsi="Times New Roman" w:cs="Times New Roman"/>
          <w:sz w:val="22"/>
          <w:lang w:eastAsia="zh-CN"/>
        </w:rPr>
        <w:t>mo representante institucional nos</w:t>
      </w:r>
      <w:r w:rsidRPr="001C0AE1">
        <w:rPr>
          <w:rFonts w:ascii="Times New Roman" w:hAnsi="Times New Roman" w:cs="Times New Roman"/>
          <w:sz w:val="22"/>
          <w:lang w:eastAsia="zh-CN"/>
        </w:rPr>
        <w:t xml:space="preserve"> termos do artigo 67 da Lei 8666/93.</w:t>
      </w:r>
    </w:p>
    <w:p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Default="00764DC7" w:rsidP="005B0E37">
      <w:pPr>
        <w:spacing w:before="120" w:after="120" w:line="276" w:lineRule="auto"/>
        <w:ind w:left="426" w:firstLine="0"/>
        <w:rPr>
          <w:rFonts w:ascii="Times New Roman" w:hAnsi="Times New Roman" w:cs="Times New Roman"/>
          <w:color w:val="FF0000"/>
          <w:sz w:val="22"/>
          <w:lang w:eastAsia="en-US"/>
        </w:rPr>
      </w:pPr>
      <w:r>
        <w:rPr>
          <w:rFonts w:ascii="Times New Roman" w:hAnsi="Times New Roman" w:cs="Times New Roman"/>
          <w:color w:val="FF0000"/>
          <w:sz w:val="22"/>
          <w:lang w:eastAsia="en-US"/>
        </w:rPr>
        <w:t>Cordilheira Alta/SC, 30</w:t>
      </w:r>
      <w:r w:rsidR="00866C06" w:rsidRPr="001C0AE1">
        <w:rPr>
          <w:rFonts w:ascii="Times New Roman" w:hAnsi="Times New Roman" w:cs="Times New Roman"/>
          <w:color w:val="FF0000"/>
          <w:sz w:val="22"/>
          <w:lang w:eastAsia="en-US"/>
        </w:rPr>
        <w:t xml:space="preserve"> de setembro de 2021.</w:t>
      </w:r>
    </w:p>
    <w:p w:rsidR="00764DC7" w:rsidRDefault="00764DC7" w:rsidP="005B0E37">
      <w:pPr>
        <w:spacing w:before="120" w:after="120" w:line="276" w:lineRule="auto"/>
        <w:ind w:left="426" w:firstLine="0"/>
        <w:rPr>
          <w:rFonts w:ascii="Times New Roman" w:hAnsi="Times New Roman" w:cs="Times New Roman"/>
          <w:color w:val="FF0000"/>
          <w:sz w:val="22"/>
          <w:lang w:eastAsia="en-US"/>
        </w:rPr>
      </w:pPr>
    </w:p>
    <w:p w:rsidR="00764DC7" w:rsidRPr="001C0AE1" w:rsidRDefault="00764DC7" w:rsidP="005B0E37">
      <w:pPr>
        <w:spacing w:before="120" w:after="120" w:line="276" w:lineRule="auto"/>
        <w:ind w:left="426" w:firstLine="0"/>
        <w:rPr>
          <w:rFonts w:ascii="Times New Roman" w:hAnsi="Times New Roman" w:cs="Times New Roman"/>
          <w:color w:val="FF0000"/>
          <w:sz w:val="22"/>
          <w:lang w:eastAsia="en-US"/>
        </w:rPr>
      </w:pPr>
    </w:p>
    <w:p w:rsidR="005B0E37" w:rsidRPr="001C0AE1" w:rsidRDefault="005B0E37" w:rsidP="00141D63">
      <w:pPr>
        <w:spacing w:after="0" w:line="259" w:lineRule="auto"/>
        <w:ind w:left="325" w:right="0" w:firstLine="0"/>
        <w:rPr>
          <w:rFonts w:ascii="Times New Roman" w:hAnsi="Times New Roman" w:cs="Times New Roman"/>
          <w:color w:val="FF0000"/>
          <w:sz w:val="22"/>
        </w:rPr>
      </w:pPr>
      <w:r w:rsidRPr="001C0AE1">
        <w:rPr>
          <w:rFonts w:ascii="Times New Roman" w:hAnsi="Times New Roman" w:cs="Times New Roman"/>
          <w:color w:val="FF0000"/>
          <w:sz w:val="22"/>
        </w:rPr>
        <w:t xml:space="preserve"> </w:t>
      </w:r>
    </w:p>
    <w:p w:rsidR="00E66E58" w:rsidRPr="001C0AE1" w:rsidRDefault="00E66E5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_______________________________________________</w:t>
      </w:r>
    </w:p>
    <w:p w:rsidR="008057CD" w:rsidRPr="001C0AE1" w:rsidRDefault="008057CD" w:rsidP="00B71D41">
      <w:pPr>
        <w:spacing w:after="0" w:line="240" w:lineRule="auto"/>
        <w:ind w:left="0" w:right="17" w:hanging="10"/>
        <w:jc w:val="center"/>
        <w:rPr>
          <w:rFonts w:ascii="Times New Roman" w:hAnsi="Times New Roman" w:cs="Times New Roman"/>
          <w:sz w:val="22"/>
        </w:rPr>
      </w:pPr>
      <w:r w:rsidRPr="001C0AE1">
        <w:rPr>
          <w:rFonts w:ascii="Times New Roman" w:hAnsi="Times New Roman" w:cs="Times New Roman"/>
          <w:color w:val="FF0000"/>
          <w:sz w:val="22"/>
          <w:lang w:eastAsia="zh-CN"/>
        </w:rPr>
        <w:t>SONIA CRISTINA DELLA TORRES BRIANCINI</w:t>
      </w:r>
      <w:r w:rsidRPr="001C0AE1">
        <w:rPr>
          <w:rFonts w:ascii="Times New Roman" w:hAnsi="Times New Roman" w:cs="Times New Roman"/>
          <w:sz w:val="22"/>
        </w:rPr>
        <w:t xml:space="preserve"> </w:t>
      </w:r>
    </w:p>
    <w:p w:rsidR="005B0E37" w:rsidRPr="001C0AE1" w:rsidRDefault="008057CD" w:rsidP="00B71D41">
      <w:pPr>
        <w:spacing w:after="0" w:line="240" w:lineRule="auto"/>
        <w:ind w:left="0" w:right="17" w:hanging="10"/>
        <w:jc w:val="center"/>
        <w:rPr>
          <w:rFonts w:ascii="Times New Roman" w:hAnsi="Times New Roman" w:cs="Times New Roman"/>
          <w:sz w:val="22"/>
        </w:rPr>
      </w:pPr>
      <w:r w:rsidRPr="001C0AE1">
        <w:rPr>
          <w:rFonts w:ascii="Times New Roman" w:hAnsi="Times New Roman" w:cs="Times New Roman"/>
          <w:sz w:val="22"/>
        </w:rPr>
        <w:t>Secretaria de Cultura, esporte e turismo</w:t>
      </w:r>
    </w:p>
    <w:p w:rsidR="00981DA0" w:rsidRPr="001C0AE1" w:rsidRDefault="00981DA0" w:rsidP="00981DA0">
      <w:pPr>
        <w:spacing w:after="0" w:line="240" w:lineRule="auto"/>
        <w:ind w:left="1148" w:right="893" w:hanging="10"/>
        <w:jc w:val="center"/>
        <w:rPr>
          <w:rFonts w:ascii="Times New Roman" w:hAnsi="Times New Roman" w:cs="Times New Roman"/>
          <w:sz w:val="22"/>
        </w:rPr>
      </w:pPr>
    </w:p>
    <w:p w:rsidR="008D013C" w:rsidRDefault="008D013C"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E118F9">
        <w:rPr>
          <w:rFonts w:ascii="Times New Roman" w:hAnsi="Times New Roman" w:cs="Times New Roman"/>
          <w:b/>
          <w:color w:val="FF0000"/>
          <w:sz w:val="22"/>
        </w:rPr>
        <w:t>176</w:t>
      </w:r>
      <w:r w:rsidRPr="001C0AE1">
        <w:rPr>
          <w:rFonts w:ascii="Times New Roman" w:hAnsi="Times New Roman" w:cs="Times New Roman"/>
          <w:b/>
          <w:color w:val="FF0000"/>
          <w:sz w:val="22"/>
        </w:rPr>
        <w:t xml:space="preserve">/2021 </w:t>
      </w:r>
    </w:p>
    <w:p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E118F9">
        <w:rPr>
          <w:rFonts w:ascii="Times New Roman" w:hAnsi="Times New Roman" w:cs="Times New Roman"/>
          <w:b/>
          <w:color w:val="FF0000"/>
          <w:sz w:val="22"/>
        </w:rPr>
        <w:t>71</w:t>
      </w:r>
      <w:r w:rsidRPr="001C0AE1">
        <w:rPr>
          <w:rFonts w:ascii="Times New Roman" w:hAnsi="Times New Roman" w:cs="Times New Roman"/>
          <w:b/>
          <w:color w:val="FF0000"/>
          <w:sz w:val="22"/>
        </w:rPr>
        <w:t>/2021</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Pr="001C0AE1" w:rsidRDefault="00E52004" w:rsidP="00DB5E7B">
      <w:pPr>
        <w:spacing w:after="0" w:line="259" w:lineRule="auto"/>
        <w:ind w:left="325" w:right="0" w:firstLine="0"/>
        <w:jc w:val="center"/>
        <w:rPr>
          <w:rFonts w:ascii="Times New Roman" w:hAnsi="Times New Roman" w:cs="Times New Roman"/>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742D25" w:rsidRPr="001C0AE1" w:rsidRDefault="003F0B27">
      <w:pPr>
        <w:spacing w:after="4" w:line="250" w:lineRule="auto"/>
        <w:ind w:left="298" w:right="283" w:hanging="10"/>
        <w:jc w:val="center"/>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E52004"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DE56A9" w:rsidRPr="001C0AE1" w:rsidRDefault="00DE56A9">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866C06" w:rsidRPr="001C0AE1" w:rsidRDefault="00866C06" w:rsidP="00866C06">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E118F9">
        <w:rPr>
          <w:rFonts w:ascii="Times New Roman" w:hAnsi="Times New Roman" w:cs="Times New Roman"/>
          <w:b/>
          <w:color w:val="FF0000"/>
          <w:sz w:val="22"/>
        </w:rPr>
        <w:t>176</w:t>
      </w:r>
      <w:r w:rsidRPr="001C0AE1">
        <w:rPr>
          <w:rFonts w:ascii="Times New Roman" w:hAnsi="Times New Roman" w:cs="Times New Roman"/>
          <w:b/>
          <w:color w:val="FF0000"/>
          <w:sz w:val="22"/>
        </w:rPr>
        <w:t xml:space="preserve">/2021 </w:t>
      </w:r>
    </w:p>
    <w:p w:rsidR="00866C06" w:rsidRPr="001C0AE1" w:rsidRDefault="00866C06" w:rsidP="00866C06">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E118F9">
        <w:rPr>
          <w:rFonts w:ascii="Times New Roman" w:hAnsi="Times New Roman" w:cs="Times New Roman"/>
          <w:b/>
          <w:color w:val="FF0000"/>
          <w:sz w:val="22"/>
        </w:rPr>
        <w:t>71</w:t>
      </w:r>
      <w:r w:rsidRPr="001C0AE1">
        <w:rPr>
          <w:rFonts w:ascii="Times New Roman" w:hAnsi="Times New Roman" w:cs="Times New Roman"/>
          <w:b/>
          <w:color w:val="FF0000"/>
          <w:sz w:val="22"/>
        </w:rPr>
        <w:t>/2021</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279" w:hanging="10"/>
        <w:jc w:val="center"/>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E52004"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866C06" w:rsidP="00866C06">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E118F9">
        <w:rPr>
          <w:rFonts w:ascii="Times New Roman" w:hAnsi="Times New Roman" w:cs="Times New Roman"/>
          <w:b/>
          <w:color w:val="FF0000"/>
          <w:sz w:val="22"/>
        </w:rPr>
        <w:t>176</w:t>
      </w:r>
      <w:r w:rsidRPr="001C0AE1">
        <w:rPr>
          <w:rFonts w:ascii="Times New Roman" w:hAnsi="Times New Roman" w:cs="Times New Roman"/>
          <w:b/>
          <w:color w:val="FF0000"/>
          <w:sz w:val="22"/>
        </w:rPr>
        <w:t xml:space="preserve">/2021 </w:t>
      </w:r>
    </w:p>
    <w:p w:rsidR="00866C06" w:rsidRPr="001C0AE1" w:rsidRDefault="00866C06" w:rsidP="00866C06">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E118F9">
        <w:rPr>
          <w:rFonts w:ascii="Times New Roman" w:hAnsi="Times New Roman" w:cs="Times New Roman"/>
          <w:b/>
          <w:color w:val="FF0000"/>
          <w:sz w:val="22"/>
        </w:rPr>
        <w:t>71</w:t>
      </w:r>
      <w:r w:rsidRPr="001C0AE1">
        <w:rPr>
          <w:rFonts w:ascii="Times New Roman" w:hAnsi="Times New Roman" w:cs="Times New Roman"/>
          <w:b/>
          <w:color w:val="FF0000"/>
          <w:sz w:val="22"/>
        </w:rPr>
        <w:t>/2021</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288" w:hanging="10"/>
        <w:jc w:val="center"/>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AB3047"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rsidP="00E74BA3">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101"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E118F9" w:rsidRPr="001C0AE1" w:rsidRDefault="00E118F9" w:rsidP="00E118F9">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176</w:t>
      </w:r>
      <w:r w:rsidRPr="001C0AE1">
        <w:rPr>
          <w:rFonts w:ascii="Times New Roman" w:hAnsi="Times New Roman" w:cs="Times New Roman"/>
          <w:b/>
          <w:color w:val="FF0000"/>
          <w:sz w:val="22"/>
        </w:rPr>
        <w:t xml:space="preserve">/2021 </w:t>
      </w:r>
    </w:p>
    <w:p w:rsidR="00E118F9" w:rsidRPr="001C0AE1" w:rsidRDefault="00E118F9" w:rsidP="00E118F9">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71</w:t>
      </w:r>
      <w:r w:rsidRPr="001C0AE1">
        <w:rPr>
          <w:rFonts w:ascii="Times New Roman" w:hAnsi="Times New Roman" w:cs="Times New Roman"/>
          <w:b/>
          <w:color w:val="FF0000"/>
          <w:sz w:val="22"/>
        </w:rPr>
        <w:t>/2021</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AB3047" w:rsidRPr="001C0AE1">
        <w:rPr>
          <w:rFonts w:ascii="Times New Roman" w:hAnsi="Times New Roman" w:cs="Times New Roman"/>
          <w:sz w:val="22"/>
        </w:rPr>
        <w:t>1</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AB3047"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Pr="001C0AE1" w:rsidRDefault="00141D63">
      <w:pPr>
        <w:spacing w:after="0" w:line="259" w:lineRule="auto"/>
        <w:ind w:left="72" w:right="0" w:firstLine="0"/>
        <w:jc w:val="center"/>
        <w:rPr>
          <w:rFonts w:ascii="Times New Roman" w:hAnsi="Times New Roman" w:cs="Times New Roman"/>
          <w:sz w:val="22"/>
        </w:rPr>
      </w:pP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866C06">
      <w:pPr>
        <w:spacing w:after="0" w:line="259" w:lineRule="auto"/>
        <w:ind w:left="72" w:right="0" w:firstLine="0"/>
        <w:jc w:val="center"/>
        <w:rPr>
          <w:rFonts w:ascii="Times New Roman" w:hAnsi="Times New Roman" w:cs="Times New Roman"/>
          <w:sz w:val="22"/>
        </w:rPr>
      </w:pPr>
    </w:p>
    <w:p w:rsidR="00866C06" w:rsidRPr="001C0AE1" w:rsidRDefault="00866C06">
      <w:pPr>
        <w:spacing w:after="0" w:line="259" w:lineRule="auto"/>
        <w:ind w:left="72" w:right="0" w:firstLine="0"/>
        <w:jc w:val="center"/>
        <w:rPr>
          <w:rFonts w:ascii="Times New Roman" w:hAnsi="Times New Roman" w:cs="Times New Roman"/>
          <w:sz w:val="22"/>
        </w:rPr>
      </w:pPr>
    </w:p>
    <w:p w:rsidR="00866C06" w:rsidRPr="001C0AE1" w:rsidRDefault="00866C06">
      <w:pPr>
        <w:spacing w:after="0" w:line="259" w:lineRule="auto"/>
        <w:ind w:left="72" w:right="0" w:firstLine="0"/>
        <w:jc w:val="center"/>
        <w:rPr>
          <w:rFonts w:ascii="Times New Roman" w:hAnsi="Times New Roman" w:cs="Times New Roman"/>
          <w:sz w:val="22"/>
        </w:rPr>
      </w:pP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B71D41">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E118F9" w:rsidRPr="001C0AE1" w:rsidRDefault="00E118F9" w:rsidP="00E118F9">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176</w:t>
      </w:r>
      <w:r w:rsidRPr="001C0AE1">
        <w:rPr>
          <w:rFonts w:ascii="Times New Roman" w:hAnsi="Times New Roman" w:cs="Times New Roman"/>
          <w:b/>
          <w:color w:val="FF0000"/>
          <w:sz w:val="22"/>
        </w:rPr>
        <w:t xml:space="preserve">/2021 </w:t>
      </w:r>
    </w:p>
    <w:p w:rsidR="00E118F9" w:rsidRPr="001C0AE1" w:rsidRDefault="00E118F9" w:rsidP="00E118F9">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71</w:t>
      </w:r>
      <w:r w:rsidRPr="001C0AE1">
        <w:rPr>
          <w:rFonts w:ascii="Times New Roman" w:hAnsi="Times New Roman" w:cs="Times New Roman"/>
          <w:b/>
          <w:color w:val="FF0000"/>
          <w:sz w:val="22"/>
        </w:rPr>
        <w:t>/2021</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AB3047" w:rsidRPr="001C0AE1">
        <w:rPr>
          <w:rFonts w:ascii="Times New Roman" w:hAnsi="Times New Roman" w:cs="Times New Roman"/>
          <w:b/>
          <w:sz w:val="22"/>
        </w:rPr>
        <w:t>1</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E118F9" w:rsidRPr="00920374">
        <w:rPr>
          <w:rFonts w:ascii="Times New Roman" w:eastAsiaTheme="minorHAnsi" w:hAnsi="Times New Roman" w:cs="Times New Roman"/>
          <w:b/>
          <w:bCs/>
          <w:color w:val="FF0000"/>
          <w:sz w:val="22"/>
        </w:rPr>
        <w:t>CONTRATAÇÃO DE EMPRESA PARA CONFECÇÃO DE PEÇAS DECORATIVAS PARA O PRESÉPIO E LOCAÇÃO DE MATE</w:t>
      </w:r>
      <w:r w:rsidR="00E118F9">
        <w:rPr>
          <w:rFonts w:ascii="Times New Roman" w:eastAsiaTheme="minorHAnsi" w:hAnsi="Times New Roman" w:cs="Times New Roman"/>
          <w:b/>
          <w:bCs/>
          <w:color w:val="FF0000"/>
          <w:sz w:val="22"/>
        </w:rPr>
        <w:t>RIAIS NATALINOS PARA DECORAÇÃO D</w:t>
      </w:r>
      <w:r w:rsidR="00E118F9" w:rsidRPr="00920374">
        <w:rPr>
          <w:rFonts w:ascii="Times New Roman" w:eastAsiaTheme="minorHAnsi" w:hAnsi="Times New Roman" w:cs="Times New Roman"/>
          <w:b/>
          <w:bCs/>
          <w:color w:val="FF0000"/>
          <w:sz w:val="22"/>
        </w:rPr>
        <w:t>OS POSTES DE ILUMINAÇÃO PÚBLICA PARA O NATAL 2021 NO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2371CA" w:rsidRPr="001C0AE1" w:rsidRDefault="002371CA" w:rsidP="002371CA">
      <w:pPr>
        <w:rPr>
          <w:rFonts w:ascii="Times New Roman" w:hAnsi="Times New Roman" w:cs="Times New Roman"/>
          <w:sz w:val="22"/>
        </w:rPr>
      </w:pPr>
    </w:p>
    <w:p w:rsidR="00E118F9" w:rsidRDefault="00E118F9" w:rsidP="00E118F9">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 xml:space="preserve">4.1 </w:t>
      </w:r>
      <w:r w:rsidRPr="000B3713">
        <w:rPr>
          <w:rFonts w:ascii="Times New Roman" w:hAnsi="Times New Roman" w:cs="Times New Roman"/>
          <w:iCs/>
          <w:sz w:val="22"/>
          <w:u w:val="single"/>
        </w:rPr>
        <w:t>O prazo de entrega dos materiais é em até 10 (dez) dias</w:t>
      </w:r>
      <w:r w:rsidRPr="001C0AE1">
        <w:rPr>
          <w:rFonts w:ascii="Times New Roman" w:hAnsi="Times New Roman" w:cs="Times New Roman"/>
          <w:iCs/>
          <w:sz w:val="22"/>
        </w:rPr>
        <w:t xml:space="preserve">, contados da Autorização de Fornecimento, em remessa </w:t>
      </w:r>
      <w:r>
        <w:rPr>
          <w:rFonts w:ascii="Times New Roman" w:hAnsi="Times New Roman" w:cs="Times New Roman"/>
          <w:iCs/>
          <w:sz w:val="22"/>
        </w:rPr>
        <w:t>única</w:t>
      </w:r>
      <w:r w:rsidRPr="001C0AE1">
        <w:rPr>
          <w:rFonts w:ascii="Times New Roman" w:hAnsi="Times New Roman" w:cs="Times New Roman"/>
          <w:iCs/>
          <w:sz w:val="22"/>
        </w:rPr>
        <w:t>, no endereço discriminado na AF.</w:t>
      </w:r>
    </w:p>
    <w:p w:rsidR="00124E6C" w:rsidRPr="001C0AE1" w:rsidRDefault="00124E6C" w:rsidP="00E118F9">
      <w:pPr>
        <w:spacing w:before="120" w:after="120" w:line="276" w:lineRule="auto"/>
        <w:ind w:left="0" w:firstLine="851"/>
        <w:rPr>
          <w:rFonts w:ascii="Times New Roman" w:hAnsi="Times New Roman" w:cs="Times New Roman"/>
          <w:b/>
          <w:bCs/>
          <w:sz w:val="22"/>
        </w:rPr>
      </w:pPr>
      <w:r>
        <w:rPr>
          <w:rFonts w:ascii="Times New Roman" w:hAnsi="Times New Roman" w:cs="Times New Roman"/>
          <w:iCs/>
          <w:sz w:val="22"/>
        </w:rPr>
        <w:t xml:space="preserve">4.1.1 </w:t>
      </w:r>
      <w:r w:rsidRPr="00124E6C">
        <w:rPr>
          <w:rFonts w:ascii="Times New Roman" w:hAnsi="Times New Roman" w:cs="Times New Roman"/>
          <w:iCs/>
          <w:sz w:val="22"/>
        </w:rPr>
        <w:t>O prazo de entrega das peças para o presépio é em até 15 (quinze) dias, contados da Autorização de Fornecimento, em remessa única, no endereço discriminado na AF.</w:t>
      </w:r>
    </w:p>
    <w:p w:rsidR="00E118F9" w:rsidRPr="001C0AE1" w:rsidRDefault="00E118F9" w:rsidP="00E118F9">
      <w:pPr>
        <w:spacing w:before="120" w:after="120" w:line="276" w:lineRule="auto"/>
        <w:ind w:left="0" w:firstLine="851"/>
        <w:rPr>
          <w:rFonts w:ascii="Times New Roman" w:hAnsi="Times New Roman" w:cs="Times New Roman"/>
          <w:b/>
          <w:bCs/>
          <w:sz w:val="22"/>
        </w:rPr>
      </w:pPr>
      <w:r>
        <w:rPr>
          <w:rFonts w:ascii="Times New Roman" w:hAnsi="Times New Roman" w:cs="Times New Roman"/>
          <w:sz w:val="22"/>
        </w:rPr>
        <w:t>4.1.1</w:t>
      </w:r>
      <w:r w:rsidR="00124E6C">
        <w:rPr>
          <w:rFonts w:ascii="Times New Roman" w:hAnsi="Times New Roman" w:cs="Times New Roman"/>
          <w:sz w:val="22"/>
        </w:rPr>
        <w:t>.1</w:t>
      </w:r>
      <w:r>
        <w:rPr>
          <w:rFonts w:ascii="Times New Roman" w:hAnsi="Times New Roman" w:cs="Times New Roman"/>
          <w:sz w:val="22"/>
        </w:rPr>
        <w:t xml:space="preserve"> - Os materiais</w:t>
      </w:r>
      <w:r w:rsidRPr="001C0AE1">
        <w:rPr>
          <w:rFonts w:ascii="Times New Roman" w:hAnsi="Times New Roman" w:cs="Times New Roman"/>
          <w:sz w:val="22"/>
        </w:rPr>
        <w:t xml:space="preserve"> serão recebidos provisoriamente no prazo de 05 (cinco) dias, pelo responsável ao acompanhamento e fiscalização do contrato, para efeito de posterior verificação de sua conformidade com as especificações constantes neste Termo de Referência e na proposta. </w:t>
      </w:r>
    </w:p>
    <w:p w:rsidR="00E118F9" w:rsidRPr="001C0AE1" w:rsidRDefault="00E118F9" w:rsidP="00E118F9">
      <w:pPr>
        <w:spacing w:before="120" w:after="120" w:line="276" w:lineRule="auto"/>
        <w:ind w:left="0" w:firstLine="851"/>
        <w:rPr>
          <w:rFonts w:ascii="Times New Roman" w:hAnsi="Times New Roman" w:cs="Times New Roman"/>
          <w:bCs/>
          <w:sz w:val="22"/>
        </w:rPr>
      </w:pPr>
      <w:r>
        <w:rPr>
          <w:rFonts w:ascii="Times New Roman" w:hAnsi="Times New Roman" w:cs="Times New Roman"/>
          <w:bCs/>
          <w:sz w:val="22"/>
        </w:rPr>
        <w:t>4</w:t>
      </w:r>
      <w:r w:rsidRPr="001C0AE1">
        <w:rPr>
          <w:rFonts w:ascii="Times New Roman" w:hAnsi="Times New Roman" w:cs="Times New Roman"/>
          <w:bCs/>
          <w:sz w:val="22"/>
        </w:rPr>
        <w:t xml:space="preserve">.2 - Os </w:t>
      </w:r>
      <w:r>
        <w:rPr>
          <w:rFonts w:ascii="Times New Roman" w:hAnsi="Times New Roman" w:cs="Times New Roman"/>
          <w:sz w:val="22"/>
        </w:rPr>
        <w:t>materiais</w:t>
      </w:r>
      <w:r w:rsidRPr="001C0AE1">
        <w:rPr>
          <w:rFonts w:ascii="Times New Roman" w:hAnsi="Times New Roman" w:cs="Times New Roman"/>
          <w:bCs/>
          <w:sz w:val="22"/>
        </w:rPr>
        <w:t xml:space="preserve"> poderão ser rejeitados, no todo ou em parte, quando em desacordo com as especificações constantes neste Termo de Referência e na proposta, devendo ser substituídos no prazo de </w:t>
      </w:r>
      <w:r>
        <w:rPr>
          <w:rFonts w:ascii="Times New Roman" w:hAnsi="Times New Roman" w:cs="Times New Roman"/>
          <w:bCs/>
          <w:sz w:val="22"/>
        </w:rPr>
        <w:t>24 (vinte e quatro) horas</w:t>
      </w:r>
      <w:r w:rsidRPr="001C0AE1">
        <w:rPr>
          <w:rFonts w:ascii="Times New Roman" w:hAnsi="Times New Roman" w:cs="Times New Roman"/>
          <w:bCs/>
          <w:sz w:val="22"/>
        </w:rPr>
        <w:t>, a contar da notificação da contratada, às suas custas, sem prejuízo da aplicação das penalidades.</w:t>
      </w:r>
    </w:p>
    <w:p w:rsidR="00E118F9" w:rsidRPr="001C0AE1" w:rsidRDefault="00E118F9" w:rsidP="00E118F9">
      <w:pPr>
        <w:spacing w:before="120" w:after="120" w:line="276" w:lineRule="auto"/>
        <w:ind w:left="0" w:firstLine="851"/>
        <w:rPr>
          <w:rFonts w:ascii="Times New Roman" w:hAnsi="Times New Roman" w:cs="Times New Roman"/>
          <w:bCs/>
          <w:sz w:val="22"/>
        </w:rPr>
      </w:pPr>
      <w:r>
        <w:rPr>
          <w:rFonts w:ascii="Times New Roman" w:hAnsi="Times New Roman" w:cs="Times New Roman"/>
          <w:sz w:val="22"/>
        </w:rPr>
        <w:t>4.3 - Os materiais</w:t>
      </w:r>
      <w:r w:rsidRPr="001C0AE1">
        <w:rPr>
          <w:rFonts w:ascii="Times New Roman" w:hAnsi="Times New Roman" w:cs="Times New Roman"/>
          <w:sz w:val="22"/>
        </w:rPr>
        <w:t xml:space="preserve"> serão recebidos definitivamente no prazo de 03 (três) dias, contados do recebimento provisório, após a verificação da qualidade e quantidade do material e consequente aceitação mediante termo circunstanciado.</w:t>
      </w:r>
    </w:p>
    <w:p w:rsidR="00E118F9" w:rsidRPr="001C0AE1" w:rsidRDefault="00E118F9" w:rsidP="00E118F9">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rsidR="00E118F9" w:rsidRDefault="00E118F9" w:rsidP="00E118F9">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w:t>
      </w:r>
      <w:r w:rsidRPr="001C0AE1">
        <w:rPr>
          <w:rFonts w:ascii="Times New Roman" w:hAnsi="Times New Roman" w:cs="Times New Roman"/>
          <w:sz w:val="22"/>
        </w:rPr>
        <w:t>.4 - O recebimento provisório ou definitivo do objeto não exclui a responsabilidade da contratada pelos prejuízos resultantes da incorreta execução do contrato.</w:t>
      </w:r>
    </w:p>
    <w:p w:rsidR="00E118F9" w:rsidRDefault="00E118F9" w:rsidP="00E118F9">
      <w:pPr>
        <w:spacing w:before="120" w:after="120" w:line="276" w:lineRule="auto"/>
        <w:ind w:left="0" w:firstLine="851"/>
        <w:rPr>
          <w:rFonts w:ascii="Times New Roman" w:hAnsi="Times New Roman" w:cs="Times New Roman"/>
          <w:sz w:val="22"/>
        </w:rPr>
      </w:pPr>
      <w:r>
        <w:rPr>
          <w:rFonts w:ascii="Times New Roman" w:hAnsi="Times New Roman" w:cs="Times New Roman"/>
          <w:sz w:val="22"/>
        </w:rPr>
        <w:t>4.5 – A contratada fica responsável pelo transporte de ida e volta dos materiais, bem como da entrega e retirada dos mesmos, em local a ser definido na autorização de fornecimento emitido pelo departamento de compras do Município de Cordilheira Alta/SC.</w:t>
      </w:r>
    </w:p>
    <w:p w:rsidR="00E118F9" w:rsidRDefault="00E118F9" w:rsidP="00E118F9">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4.5.1 - </w:t>
      </w:r>
      <w:r w:rsidRPr="00CC66E2">
        <w:rPr>
          <w:rFonts w:ascii="Times New Roman" w:hAnsi="Times New Roman" w:cs="Times New Roman"/>
          <w:sz w:val="22"/>
        </w:rPr>
        <w:t>Fica a cargo da empresa contratada fornecer a mão de obra para carga e descarga dos materiais, além do frete para transporte dos itens até o local citado no item</w:t>
      </w:r>
      <w:r>
        <w:rPr>
          <w:rFonts w:ascii="Times New Roman" w:hAnsi="Times New Roman" w:cs="Times New Roman"/>
          <w:sz w:val="22"/>
        </w:rPr>
        <w:t xml:space="preserve"> 3.5.</w:t>
      </w:r>
    </w:p>
    <w:p w:rsidR="00E118F9" w:rsidRDefault="00E118F9" w:rsidP="00E118F9">
      <w:pPr>
        <w:spacing w:before="120" w:after="120" w:line="276" w:lineRule="auto"/>
        <w:ind w:left="0" w:firstLine="851"/>
        <w:rPr>
          <w:rFonts w:ascii="Times New Roman" w:hAnsi="Times New Roman" w:cs="Times New Roman"/>
          <w:sz w:val="22"/>
          <w:u w:val="single"/>
        </w:rPr>
      </w:pPr>
      <w:r>
        <w:rPr>
          <w:rFonts w:ascii="Times New Roman" w:hAnsi="Times New Roman" w:cs="Times New Roman"/>
          <w:sz w:val="22"/>
        </w:rPr>
        <w:t xml:space="preserve">4.6 – </w:t>
      </w:r>
      <w:r w:rsidRPr="000B3713">
        <w:rPr>
          <w:rFonts w:ascii="Times New Roman" w:hAnsi="Times New Roman" w:cs="Times New Roman"/>
          <w:sz w:val="22"/>
          <w:u w:val="single"/>
        </w:rPr>
        <w:t>A retirada dos materiais deverá ocorrer até o dia 18 de janeiro de 2022, o Município de Cordilheira Alta comunicará a empresa da retirada.</w:t>
      </w:r>
    </w:p>
    <w:p w:rsidR="00742D25" w:rsidRPr="00E118F9" w:rsidRDefault="00E118F9" w:rsidP="00E118F9">
      <w:pPr>
        <w:spacing w:before="120" w:after="120" w:line="276" w:lineRule="auto"/>
        <w:ind w:left="0" w:firstLine="851"/>
        <w:rPr>
          <w:rFonts w:ascii="Times New Roman" w:hAnsi="Times New Roman" w:cs="Times New Roman"/>
          <w:sz w:val="22"/>
          <w:u w:val="single"/>
        </w:rPr>
      </w:pPr>
      <w:r>
        <w:rPr>
          <w:rFonts w:ascii="Times New Roman" w:hAnsi="Times New Roman" w:cs="Times New Roman"/>
          <w:sz w:val="22"/>
          <w:u w:val="single"/>
        </w:rPr>
        <w:t xml:space="preserve">4.7 - </w:t>
      </w:r>
      <w:r w:rsidRPr="00E118F9">
        <w:rPr>
          <w:rFonts w:ascii="Times New Roman" w:hAnsi="Times New Roman" w:cs="Times New Roman"/>
          <w:sz w:val="22"/>
          <w:u w:val="single"/>
        </w:rPr>
        <w:t>Será verificado o pleno funcionamento de todos os itens no ato da entrega dos mesmos</w:t>
      </w:r>
      <w:r w:rsidR="003F0B27" w:rsidRPr="001C0AE1">
        <w:rPr>
          <w:rFonts w:ascii="Times New Roman" w:hAnsi="Times New Roman" w:cs="Times New Roman"/>
          <w:b/>
          <w:sz w:val="22"/>
        </w:rPr>
        <w:t xml:space="preserve"> </w:t>
      </w:r>
    </w:p>
    <w:p w:rsidR="00E118F9" w:rsidRDefault="00E118F9"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764DC7">
        <w:rPr>
          <w:rFonts w:ascii="Times New Roman" w:hAnsi="Times New Roman" w:cs="Times New Roman"/>
          <w:sz w:val="22"/>
          <w:highlight w:val="yellow"/>
        </w:rPr>
        <w:t>2.005 – Elemento 3.3.90 – Despesa 65</w:t>
      </w:r>
      <w:r w:rsidR="00866C06" w:rsidRPr="001C0AE1">
        <w:rPr>
          <w:rFonts w:ascii="Times New Roman" w:hAnsi="Times New Roman" w:cs="Times New Roman"/>
          <w:sz w:val="22"/>
        </w:rPr>
        <w:t>, prevista na Lei Orçamentária do Exercício de 2021.)</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9C6EF2">
        <w:rPr>
          <w:rFonts w:ascii="Times New Roman" w:hAnsi="Times New Roman" w:cs="Times New Roman"/>
          <w:sz w:val="22"/>
        </w:rPr>
        <w:t>Não haverá prestação de garantia</w:t>
      </w:r>
      <w:r w:rsidR="00866C06" w:rsidRPr="001C0AE1">
        <w:rPr>
          <w:rFonts w:ascii="Times New Roman" w:hAnsi="Times New Roman" w:cs="Times New Roman"/>
          <w:sz w:val="22"/>
        </w:rPr>
        <w:t>.</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Default="008D17F4" w:rsidP="001C0AE1">
      <w:pPr>
        <w:spacing w:after="0"/>
        <w:ind w:left="0" w:right="0" w:firstLine="851"/>
        <w:rPr>
          <w:rFonts w:ascii="Times New Roman" w:hAnsi="Times New Roman" w:cs="Times New Roman"/>
          <w:sz w:val="22"/>
        </w:rPr>
      </w:pP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8D17F4" w:rsidRPr="001C0AE1" w:rsidRDefault="008D17F4" w:rsidP="001C0AE1">
      <w:pPr>
        <w:spacing w:after="0"/>
        <w:ind w:left="0" w:right="0" w:firstLine="851"/>
        <w:rPr>
          <w:rFonts w:ascii="Times New Roman" w:hAnsi="Times New Roman" w:cs="Times New Roman"/>
          <w:sz w:val="22"/>
        </w:rPr>
      </w:pP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66C06" w:rsidRPr="001C0AE1" w:rsidRDefault="001C0AE1" w:rsidP="001C0AE1">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866C06" w:rsidRPr="001C0AE1">
        <w:rPr>
          <w:rFonts w:ascii="Times New Roman" w:hAnsi="Times New Roman" w:cs="Times New Roman"/>
          <w:sz w:val="22"/>
          <w:lang w:eastAsia="zh-CN"/>
        </w:rPr>
        <w:t xml:space="preserve">A execução do contrato será acompanhada e fiscalizada pela </w:t>
      </w:r>
      <w:r w:rsidR="00866C06" w:rsidRPr="001C0AE1">
        <w:rPr>
          <w:rFonts w:ascii="Times New Roman" w:hAnsi="Times New Roman" w:cs="Times New Roman"/>
          <w:color w:val="FF0000"/>
          <w:sz w:val="22"/>
          <w:lang w:eastAsia="zh-CN"/>
        </w:rPr>
        <w:t xml:space="preserve">Sonia Cristina Della Torres Briancini, matricula n° 854/01, </w:t>
      </w:r>
      <w:r w:rsidR="00866C06"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1C0AE1">
      <w:pPr>
        <w:spacing w:before="100" w:after="100" w:line="240" w:lineRule="auto"/>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Pregão para Registro de </w:t>
      </w:r>
      <w:r w:rsidR="003F0B27" w:rsidRPr="001C0AE1">
        <w:rPr>
          <w:rFonts w:ascii="Times New Roman" w:hAnsi="Times New Roman" w:cs="Times New Roman"/>
          <w:color w:val="FF0000"/>
          <w:sz w:val="22"/>
        </w:rPr>
        <w:t xml:space="preserve">Preço nº __/2021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__________ de 2021</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1C0AE1">
      <w:pPr>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1C0AE1">
      <w:pPr>
        <w:spacing w:after="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t xml:space="preserve"> _____________________</w:t>
      </w:r>
    </w:p>
    <w:p w:rsidR="001C0AE1" w:rsidRPr="001C0AE1" w:rsidRDefault="001C0AE1" w:rsidP="001C0AE1">
      <w:pPr>
        <w:spacing w:after="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Kelly Cristina Ranzan</w:t>
      </w:r>
    </w:p>
    <w:p w:rsidR="001C0AE1" w:rsidRPr="001C0AE1" w:rsidRDefault="001C0AE1" w:rsidP="001C0AE1">
      <w:pPr>
        <w:spacing w:after="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387" w:rsidRDefault="00432387">
      <w:pPr>
        <w:spacing w:after="0" w:line="240" w:lineRule="auto"/>
      </w:pPr>
      <w:r>
        <w:separator/>
      </w:r>
    </w:p>
  </w:endnote>
  <w:endnote w:type="continuationSeparator" w:id="0">
    <w:p w:rsidR="00432387" w:rsidRDefault="00432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277" w:firstLine="0"/>
      <w:jc w:val="center"/>
    </w:pPr>
    <w:r>
      <w:rPr>
        <w:b/>
        <w:sz w:val="16"/>
      </w:rPr>
      <w:t xml:space="preserve">RUA CELSO TOZZO, 27 CEP: 89.819-000 – FONE: (49) 3358-9100 – CORDILHEIRA ALTA – SC </w:t>
    </w:r>
  </w:p>
  <w:p w:rsidR="00432387" w:rsidRDefault="0043238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9C2DAE">
      <w:fldChar w:fldCharType="begin"/>
    </w:r>
    <w:r w:rsidR="009C2DAE">
      <w:instrText xml:space="preserve"> NUMPAGES   \* MERGEFORMAT </w:instrText>
    </w:r>
    <w:r w:rsidR="009C2DAE">
      <w:fldChar w:fldCharType="separate"/>
    </w:r>
    <w:r w:rsidR="009C2DAE" w:rsidRPr="009C2DAE">
      <w:rPr>
        <w:rFonts w:ascii="Arial" w:eastAsia="Arial" w:hAnsi="Arial" w:cs="Arial"/>
        <w:noProof/>
        <w:sz w:val="18"/>
      </w:rPr>
      <w:t>37</w:t>
    </w:r>
    <w:r w:rsidR="009C2DAE">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32387" w:rsidRDefault="0043238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277" w:firstLine="0"/>
      <w:jc w:val="center"/>
    </w:pPr>
    <w:r>
      <w:rPr>
        <w:b/>
        <w:sz w:val="16"/>
      </w:rPr>
      <w:t xml:space="preserve">RUA CELSO TOZZO, 27 CEP: 89.819-000 – FONE: (49) 3358-9100 – CORDILHEIRA ALTA – SC </w:t>
    </w:r>
  </w:p>
  <w:p w:rsidR="00432387" w:rsidRDefault="0043238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9C2DAE" w:rsidRPr="009C2DAE">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sidR="009C2DAE">
      <w:fldChar w:fldCharType="begin"/>
    </w:r>
    <w:r w:rsidR="009C2DAE">
      <w:instrText xml:space="preserve"> NUMPAGES   \* MERGEFORMAT </w:instrText>
    </w:r>
    <w:r w:rsidR="009C2DAE">
      <w:fldChar w:fldCharType="separate"/>
    </w:r>
    <w:r w:rsidR="009C2DAE" w:rsidRPr="009C2DAE">
      <w:rPr>
        <w:rFonts w:ascii="Arial" w:eastAsia="Arial" w:hAnsi="Arial" w:cs="Arial"/>
        <w:noProof/>
        <w:sz w:val="18"/>
      </w:rPr>
      <w:t>37</w:t>
    </w:r>
    <w:r w:rsidR="009C2DAE">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32387" w:rsidRDefault="0043238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277" w:firstLine="0"/>
      <w:jc w:val="center"/>
    </w:pPr>
    <w:r>
      <w:rPr>
        <w:b/>
        <w:sz w:val="16"/>
      </w:rPr>
      <w:t xml:space="preserve">RUA CELSO TOZZO, 27 CEP: 89.819-000 – FONE: (49) 3358-9100 – CORDILHEIRA ALTA – SC </w:t>
    </w:r>
  </w:p>
  <w:p w:rsidR="00432387" w:rsidRDefault="0043238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9C2DAE" w:rsidRPr="009C2DAE">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9C2DAE">
      <w:fldChar w:fldCharType="begin"/>
    </w:r>
    <w:r w:rsidR="009C2DAE">
      <w:instrText xml:space="preserve"> NUMPAGES   \* MERGEFORMAT </w:instrText>
    </w:r>
    <w:r w:rsidR="009C2DAE">
      <w:fldChar w:fldCharType="separate"/>
    </w:r>
    <w:r w:rsidR="009C2DAE" w:rsidRPr="009C2DAE">
      <w:rPr>
        <w:rFonts w:ascii="Arial" w:eastAsia="Arial" w:hAnsi="Arial" w:cs="Arial"/>
        <w:noProof/>
        <w:sz w:val="18"/>
      </w:rPr>
      <w:t>37</w:t>
    </w:r>
    <w:r w:rsidR="009C2DAE">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32387" w:rsidRDefault="0043238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387" w:rsidRDefault="00432387">
      <w:pPr>
        <w:spacing w:after="0" w:line="240" w:lineRule="auto"/>
      </w:pPr>
      <w:r>
        <w:separator/>
      </w:r>
    </w:p>
  </w:footnote>
  <w:footnote w:type="continuationSeparator" w:id="0">
    <w:p w:rsidR="00432387" w:rsidRDefault="004323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387" w:rsidRDefault="00432387">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432387" w:rsidRDefault="00432387">
    <w:pPr>
      <w:spacing w:after="216" w:line="259" w:lineRule="auto"/>
      <w:ind w:left="4" w:right="0" w:firstLine="0"/>
      <w:jc w:val="center"/>
      <w:rPr>
        <w:b/>
      </w:rPr>
    </w:pPr>
  </w:p>
  <w:p w:rsidR="00432387" w:rsidRDefault="00432387">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8"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8"/>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B0117"/>
    <w:rsid w:val="000B3713"/>
    <w:rsid w:val="000E039C"/>
    <w:rsid w:val="00124E6C"/>
    <w:rsid w:val="00141ABB"/>
    <w:rsid w:val="00141D63"/>
    <w:rsid w:val="00146D47"/>
    <w:rsid w:val="00170811"/>
    <w:rsid w:val="00184CCF"/>
    <w:rsid w:val="00196E60"/>
    <w:rsid w:val="001B196E"/>
    <w:rsid w:val="001B56ED"/>
    <w:rsid w:val="001C076E"/>
    <w:rsid w:val="001C0AE1"/>
    <w:rsid w:val="001C5CFC"/>
    <w:rsid w:val="001C666B"/>
    <w:rsid w:val="001C75AA"/>
    <w:rsid w:val="001C78F9"/>
    <w:rsid w:val="0020446B"/>
    <w:rsid w:val="0020654D"/>
    <w:rsid w:val="00206A6A"/>
    <w:rsid w:val="00212754"/>
    <w:rsid w:val="00212D65"/>
    <w:rsid w:val="00231FB8"/>
    <w:rsid w:val="002328D7"/>
    <w:rsid w:val="002371CA"/>
    <w:rsid w:val="002D4BEC"/>
    <w:rsid w:val="002E30B3"/>
    <w:rsid w:val="00307BD3"/>
    <w:rsid w:val="00313A41"/>
    <w:rsid w:val="003371A9"/>
    <w:rsid w:val="0034734C"/>
    <w:rsid w:val="00367C06"/>
    <w:rsid w:val="00387610"/>
    <w:rsid w:val="0039401B"/>
    <w:rsid w:val="003A01CB"/>
    <w:rsid w:val="003A1BE8"/>
    <w:rsid w:val="003A6FC2"/>
    <w:rsid w:val="003D1996"/>
    <w:rsid w:val="003F0594"/>
    <w:rsid w:val="003F0B27"/>
    <w:rsid w:val="0040159A"/>
    <w:rsid w:val="00432387"/>
    <w:rsid w:val="00450574"/>
    <w:rsid w:val="004630A0"/>
    <w:rsid w:val="00467A17"/>
    <w:rsid w:val="0048295C"/>
    <w:rsid w:val="00490508"/>
    <w:rsid w:val="00492EB6"/>
    <w:rsid w:val="004A0903"/>
    <w:rsid w:val="004F462C"/>
    <w:rsid w:val="00510231"/>
    <w:rsid w:val="00520114"/>
    <w:rsid w:val="00531926"/>
    <w:rsid w:val="00547254"/>
    <w:rsid w:val="00557DD5"/>
    <w:rsid w:val="0058664F"/>
    <w:rsid w:val="00587D81"/>
    <w:rsid w:val="005904CE"/>
    <w:rsid w:val="005B0E37"/>
    <w:rsid w:val="005B3DF9"/>
    <w:rsid w:val="005D0848"/>
    <w:rsid w:val="00637A1F"/>
    <w:rsid w:val="00681737"/>
    <w:rsid w:val="006A37E8"/>
    <w:rsid w:val="00706CEC"/>
    <w:rsid w:val="0071709F"/>
    <w:rsid w:val="007266D4"/>
    <w:rsid w:val="007355D0"/>
    <w:rsid w:val="00740A2A"/>
    <w:rsid w:val="00742D25"/>
    <w:rsid w:val="00764DC7"/>
    <w:rsid w:val="00770A2F"/>
    <w:rsid w:val="007A2E09"/>
    <w:rsid w:val="007A7DD2"/>
    <w:rsid w:val="007D0D50"/>
    <w:rsid w:val="007E1623"/>
    <w:rsid w:val="007F7E30"/>
    <w:rsid w:val="008057CD"/>
    <w:rsid w:val="0082335B"/>
    <w:rsid w:val="00826916"/>
    <w:rsid w:val="00837FCA"/>
    <w:rsid w:val="00866C06"/>
    <w:rsid w:val="008A5B5E"/>
    <w:rsid w:val="008A5B6B"/>
    <w:rsid w:val="008B50DD"/>
    <w:rsid w:val="008D013C"/>
    <w:rsid w:val="008D17F4"/>
    <w:rsid w:val="008D219E"/>
    <w:rsid w:val="008E41E9"/>
    <w:rsid w:val="008F67BC"/>
    <w:rsid w:val="00917A36"/>
    <w:rsid w:val="00920374"/>
    <w:rsid w:val="009579D1"/>
    <w:rsid w:val="00977364"/>
    <w:rsid w:val="00981DA0"/>
    <w:rsid w:val="00991F3F"/>
    <w:rsid w:val="00995240"/>
    <w:rsid w:val="009965F1"/>
    <w:rsid w:val="00996B67"/>
    <w:rsid w:val="009B25A8"/>
    <w:rsid w:val="009B5293"/>
    <w:rsid w:val="009C2DAE"/>
    <w:rsid w:val="009C6EF2"/>
    <w:rsid w:val="009F47E4"/>
    <w:rsid w:val="00A05B6C"/>
    <w:rsid w:val="00A16D96"/>
    <w:rsid w:val="00A22670"/>
    <w:rsid w:val="00A22BFE"/>
    <w:rsid w:val="00A4589B"/>
    <w:rsid w:val="00A51C0A"/>
    <w:rsid w:val="00A81294"/>
    <w:rsid w:val="00AA5D22"/>
    <w:rsid w:val="00AB3047"/>
    <w:rsid w:val="00AC03B7"/>
    <w:rsid w:val="00AE7E0B"/>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C5108"/>
    <w:rsid w:val="00BF7F5C"/>
    <w:rsid w:val="00C31413"/>
    <w:rsid w:val="00C444E3"/>
    <w:rsid w:val="00C53377"/>
    <w:rsid w:val="00C571DD"/>
    <w:rsid w:val="00CA781B"/>
    <w:rsid w:val="00CB4F9F"/>
    <w:rsid w:val="00CC5F3D"/>
    <w:rsid w:val="00CC66E2"/>
    <w:rsid w:val="00D90B91"/>
    <w:rsid w:val="00DA0D0B"/>
    <w:rsid w:val="00DB5E7B"/>
    <w:rsid w:val="00DD5B0C"/>
    <w:rsid w:val="00DE56A9"/>
    <w:rsid w:val="00DF14ED"/>
    <w:rsid w:val="00E118F9"/>
    <w:rsid w:val="00E21BA7"/>
    <w:rsid w:val="00E27600"/>
    <w:rsid w:val="00E30C0A"/>
    <w:rsid w:val="00E52004"/>
    <w:rsid w:val="00E5649D"/>
    <w:rsid w:val="00E63B86"/>
    <w:rsid w:val="00E65C64"/>
    <w:rsid w:val="00E66E58"/>
    <w:rsid w:val="00E74BA3"/>
    <w:rsid w:val="00E930CC"/>
    <w:rsid w:val="00E97DBF"/>
    <w:rsid w:val="00EA1E8C"/>
    <w:rsid w:val="00EB339E"/>
    <w:rsid w:val="00EB5290"/>
    <w:rsid w:val="00ED4099"/>
    <w:rsid w:val="00ED7612"/>
    <w:rsid w:val="00F16D3D"/>
    <w:rsid w:val="00F309EE"/>
    <w:rsid w:val="00F70CE1"/>
    <w:rsid w:val="00F95BC9"/>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956</TotalTime>
  <Pages>37</Pages>
  <Words>14327</Words>
  <Characters>77372</Characters>
  <Application>Microsoft Office Word</Application>
  <DocSecurity>0</DocSecurity>
  <Lines>644</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130</cp:revision>
  <cp:lastPrinted>2021-09-30T16:49:00Z</cp:lastPrinted>
  <dcterms:created xsi:type="dcterms:W3CDTF">2021-02-15T11:42:00Z</dcterms:created>
  <dcterms:modified xsi:type="dcterms:W3CDTF">2021-09-30T16:54:00Z</dcterms:modified>
</cp:coreProperties>
</file>