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CD8" w:rsidRPr="00BC464A" w:rsidRDefault="00251BE5" w:rsidP="00657150">
      <w:pPr>
        <w:tabs>
          <w:tab w:val="left" w:pos="4216"/>
          <w:tab w:val="left" w:pos="8627"/>
        </w:tabs>
        <w:ind w:left="1223"/>
        <w:rPr>
          <w:sz w:val="24"/>
          <w:szCs w:val="24"/>
        </w:rPr>
      </w:pPr>
      <w:r w:rsidRPr="00BC464A">
        <w:rPr>
          <w:sz w:val="24"/>
          <w:szCs w:val="24"/>
        </w:rPr>
        <w:tab/>
      </w:r>
      <w:r w:rsidR="00657150">
        <w:rPr>
          <w:sz w:val="24"/>
          <w:szCs w:val="24"/>
        </w:rPr>
        <w:tab/>
      </w:r>
    </w:p>
    <w:p w:rsidR="00B16CD8" w:rsidRPr="00BC464A" w:rsidRDefault="00B16CD8">
      <w:pPr>
        <w:pStyle w:val="Corpodetexto"/>
        <w:spacing w:before="1"/>
        <w:rPr>
          <w:sz w:val="24"/>
          <w:szCs w:val="24"/>
        </w:rPr>
      </w:pPr>
    </w:p>
    <w:p w:rsidR="00B16CD8" w:rsidRPr="00BC464A" w:rsidRDefault="00251BE5">
      <w:pPr>
        <w:spacing w:before="91"/>
        <w:ind w:left="3059"/>
        <w:rPr>
          <w:b/>
          <w:sz w:val="24"/>
          <w:szCs w:val="24"/>
          <w:lang w:val="pt-BR"/>
        </w:rPr>
      </w:pPr>
      <w:r w:rsidRPr="00BC464A">
        <w:rPr>
          <w:b/>
          <w:spacing w:val="-1"/>
          <w:w w:val="105"/>
          <w:sz w:val="24"/>
          <w:szCs w:val="24"/>
          <w:lang w:val="pt-BR"/>
        </w:rPr>
        <w:t>PARECER</w:t>
      </w:r>
      <w:r w:rsidRPr="00BC464A">
        <w:rPr>
          <w:b/>
          <w:spacing w:val="-3"/>
          <w:w w:val="105"/>
          <w:sz w:val="24"/>
          <w:szCs w:val="24"/>
          <w:lang w:val="pt-BR"/>
        </w:rPr>
        <w:t xml:space="preserve"> </w:t>
      </w:r>
      <w:r w:rsidR="00461BFA">
        <w:rPr>
          <w:b/>
          <w:w w:val="105"/>
          <w:sz w:val="24"/>
          <w:szCs w:val="24"/>
          <w:lang w:val="pt-BR"/>
        </w:rPr>
        <w:t>JURÍ</w:t>
      </w:r>
      <w:r w:rsidRPr="00BC464A">
        <w:rPr>
          <w:b/>
          <w:w w:val="105"/>
          <w:sz w:val="24"/>
          <w:szCs w:val="24"/>
          <w:lang w:val="pt-BR"/>
        </w:rPr>
        <w:t>DICO</w:t>
      </w:r>
    </w:p>
    <w:p w:rsidR="00B16CD8" w:rsidRPr="00BC464A" w:rsidRDefault="00B16CD8">
      <w:pPr>
        <w:pStyle w:val="Corpodetexto"/>
        <w:spacing w:before="4"/>
        <w:rPr>
          <w:b/>
          <w:sz w:val="24"/>
          <w:szCs w:val="24"/>
          <w:lang w:val="pt-BR"/>
        </w:rPr>
      </w:pPr>
    </w:p>
    <w:p w:rsidR="00B16CD8" w:rsidRDefault="00335ADB" w:rsidP="00335ADB">
      <w:pPr>
        <w:spacing w:before="1" w:line="249" w:lineRule="auto"/>
        <w:ind w:left="192" w:right="21" w:hanging="3"/>
        <w:rPr>
          <w:b/>
          <w:w w:val="110"/>
          <w:sz w:val="24"/>
          <w:szCs w:val="24"/>
          <w:lang w:val="pt-BR"/>
        </w:rPr>
      </w:pPr>
      <w:r>
        <w:rPr>
          <w:b/>
          <w:w w:val="105"/>
          <w:sz w:val="24"/>
          <w:szCs w:val="24"/>
          <w:lang w:val="pt-BR"/>
        </w:rPr>
        <w:t>SOLICITAÇÃO DE DISPENSA DE LICITAÇÃO PARA REALIZAÇÃO DE EXAME CLÍNICO EM CARÁTER EMERGENCIAL</w:t>
      </w:r>
    </w:p>
    <w:p w:rsidR="00335ADB" w:rsidRPr="00BC464A" w:rsidRDefault="00335ADB" w:rsidP="00335ADB">
      <w:pPr>
        <w:spacing w:before="1" w:line="249" w:lineRule="auto"/>
        <w:ind w:left="192" w:right="1722" w:hanging="3"/>
        <w:rPr>
          <w:b/>
          <w:sz w:val="24"/>
          <w:szCs w:val="24"/>
          <w:lang w:val="pt-BR"/>
        </w:rPr>
      </w:pPr>
    </w:p>
    <w:p w:rsidR="00B16CD8" w:rsidRPr="00BC464A" w:rsidRDefault="00251BE5" w:rsidP="00F44B7F">
      <w:pPr>
        <w:ind w:left="180" w:right="21" w:firstLine="4"/>
        <w:jc w:val="both"/>
        <w:rPr>
          <w:b/>
          <w:sz w:val="24"/>
          <w:szCs w:val="24"/>
          <w:lang w:val="pt-BR"/>
        </w:rPr>
      </w:pPr>
      <w:r w:rsidRPr="00BC464A">
        <w:rPr>
          <w:b/>
          <w:w w:val="105"/>
          <w:sz w:val="24"/>
          <w:szCs w:val="24"/>
          <w:lang w:val="pt-BR"/>
        </w:rPr>
        <w:t>EMENTA: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PROCESSO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LICITATÓ</w:t>
      </w:r>
      <w:r w:rsidRPr="00BC464A">
        <w:rPr>
          <w:b/>
          <w:w w:val="105"/>
          <w:sz w:val="24"/>
          <w:szCs w:val="24"/>
          <w:lang w:val="pt-BR"/>
        </w:rPr>
        <w:t>RIO.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DISPENSA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DE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LICITAÇÃ</w:t>
      </w:r>
      <w:r w:rsidRPr="00BC464A">
        <w:rPr>
          <w:b/>
          <w:w w:val="105"/>
          <w:sz w:val="24"/>
          <w:szCs w:val="24"/>
          <w:lang w:val="pt-BR"/>
        </w:rPr>
        <w:t>O.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sz w:val="24"/>
          <w:szCs w:val="24"/>
          <w:lang w:val="pt-BR"/>
        </w:rPr>
        <w:t>CONTRATAÇÃ</w:t>
      </w:r>
      <w:r w:rsidRPr="00BC464A">
        <w:rPr>
          <w:b/>
          <w:sz w:val="24"/>
          <w:szCs w:val="24"/>
          <w:lang w:val="pt-BR"/>
        </w:rPr>
        <w:t>O</w:t>
      </w:r>
      <w:r w:rsidRPr="00BC464A">
        <w:rPr>
          <w:b/>
          <w:spacing w:val="1"/>
          <w:sz w:val="24"/>
          <w:szCs w:val="24"/>
          <w:lang w:val="pt-BR"/>
        </w:rPr>
        <w:t xml:space="preserve"> </w:t>
      </w:r>
      <w:r w:rsidRPr="00BC464A">
        <w:rPr>
          <w:b/>
          <w:sz w:val="24"/>
          <w:szCs w:val="24"/>
          <w:lang w:val="pt-BR"/>
        </w:rPr>
        <w:t xml:space="preserve">EMERGENCIAL </w:t>
      </w:r>
      <w:r w:rsidR="00F44B7F">
        <w:rPr>
          <w:b/>
          <w:sz w:val="24"/>
          <w:szCs w:val="24"/>
          <w:lang w:val="pt-BR"/>
        </w:rPr>
        <w:t>PARA REALIZAÇÃO DE EXAME CLÍNICO.</w:t>
      </w:r>
      <w:r w:rsidR="003D5171">
        <w:rPr>
          <w:b/>
          <w:sz w:val="24"/>
          <w:szCs w:val="24"/>
          <w:lang w:val="pt-BR"/>
        </w:rPr>
        <w:t xml:space="preserve"> PET – CT DEDICADO ONCOLÓGICO</w:t>
      </w:r>
      <w:r w:rsidR="00F44B7F">
        <w:rPr>
          <w:b/>
          <w:sz w:val="24"/>
          <w:szCs w:val="24"/>
          <w:lang w:val="pt-BR"/>
        </w:rPr>
        <w:t xml:space="preserve">. </w:t>
      </w:r>
      <w:bookmarkStart w:id="0" w:name="_GoBack"/>
      <w:r w:rsidR="00F44B7F">
        <w:rPr>
          <w:b/>
          <w:sz w:val="24"/>
          <w:szCs w:val="24"/>
          <w:lang w:val="pt-BR"/>
        </w:rPr>
        <w:t>PACIE</w:t>
      </w:r>
      <w:bookmarkEnd w:id="0"/>
      <w:r w:rsidR="00F44B7F">
        <w:rPr>
          <w:b/>
          <w:sz w:val="24"/>
          <w:szCs w:val="24"/>
          <w:lang w:val="pt-BR"/>
        </w:rPr>
        <w:t xml:space="preserve">NTE PORTADOR DE LINFOMA DE HODGKIN. </w:t>
      </w:r>
      <w:r w:rsidRPr="00BC464A">
        <w:rPr>
          <w:b/>
          <w:w w:val="105"/>
          <w:sz w:val="24"/>
          <w:szCs w:val="24"/>
          <w:lang w:val="pt-BR"/>
        </w:rPr>
        <w:t>NECESSIDADE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EMERGENCIAL.</w:t>
      </w:r>
      <w:r w:rsidRPr="00BC464A">
        <w:rPr>
          <w:b/>
          <w:spacing w:val="32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POSSIBILIDADE</w:t>
      </w:r>
      <w:r w:rsidRPr="00BC464A">
        <w:rPr>
          <w:b/>
          <w:spacing w:val="17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JURÍDICA</w:t>
      </w:r>
      <w:r w:rsidRPr="00BC464A">
        <w:rPr>
          <w:b/>
          <w:w w:val="105"/>
          <w:sz w:val="24"/>
          <w:szCs w:val="24"/>
          <w:lang w:val="pt-BR"/>
        </w:rPr>
        <w:t>.</w:t>
      </w:r>
    </w:p>
    <w:p w:rsidR="00B16CD8" w:rsidRPr="00BC464A" w:rsidRDefault="00B16CD8" w:rsidP="006901D0">
      <w:pPr>
        <w:pStyle w:val="Corpodetexto"/>
        <w:spacing w:before="8"/>
        <w:ind w:right="21"/>
        <w:rPr>
          <w:b/>
          <w:sz w:val="24"/>
          <w:szCs w:val="24"/>
          <w:lang w:val="pt-BR"/>
        </w:rPr>
      </w:pPr>
    </w:p>
    <w:p w:rsidR="00B16CD8" w:rsidRDefault="00461BF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 xml:space="preserve">1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–</w:t>
      </w:r>
      <w:r w:rsidR="00251BE5" w:rsidRPr="00657150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Síntese</w:t>
      </w:r>
    </w:p>
    <w:p w:rsidR="00335ADB" w:rsidRDefault="00F44B7F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Trata-se de solicitação de contratação por dispensa de licitação para realização emergencial de exame clínico em paciente portador de neoplasia maligna (linfoma de Hodgkin).</w:t>
      </w:r>
    </w:p>
    <w:p w:rsidR="00F44B7F" w:rsidRDefault="00F44B7F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 xml:space="preserve">O pedido está instruído com justificativa e solicitação de </w:t>
      </w:r>
      <w:proofErr w:type="gramStart"/>
      <w:r>
        <w:rPr>
          <w:rFonts w:ascii="Bookman Old Style" w:eastAsia="Calibri" w:hAnsi="Bookman Old Style"/>
          <w:sz w:val="24"/>
          <w:szCs w:val="24"/>
          <w:lang w:val="pt-BR"/>
        </w:rPr>
        <w:t>exame</w:t>
      </w:r>
      <w:proofErr w:type="gramEnd"/>
      <w:r>
        <w:rPr>
          <w:rFonts w:ascii="Bookman Old Style" w:eastAsia="Calibri" w:hAnsi="Bookman Old Style"/>
          <w:sz w:val="24"/>
          <w:szCs w:val="24"/>
          <w:lang w:val="pt-BR"/>
        </w:rPr>
        <w:t xml:space="preserve"> elaborados por médico credenciado ao SUS, laudos médicos e orçamentos.</w:t>
      </w:r>
    </w:p>
    <w:p w:rsidR="00F44B7F" w:rsidRPr="00F44B7F" w:rsidRDefault="00F44B7F" w:rsidP="00F44B7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Atestam a Secretária</w:t>
      </w:r>
      <w:r w:rsidRPr="00F44B7F">
        <w:rPr>
          <w:rFonts w:ascii="Bookman Old Style" w:eastAsia="Calibri" w:hAnsi="Bookman Old Style"/>
          <w:sz w:val="24"/>
          <w:szCs w:val="24"/>
          <w:lang w:val="pt-BR"/>
        </w:rPr>
        <w:t xml:space="preserve"> de Saúde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e o médico responsável,</w:t>
      </w:r>
      <w:r w:rsidRPr="00F44B7F">
        <w:rPr>
          <w:rFonts w:ascii="Bookman Old Style" w:eastAsia="Calibri" w:hAnsi="Bookman Old Style"/>
          <w:sz w:val="24"/>
          <w:szCs w:val="24"/>
          <w:lang w:val="pt-BR"/>
        </w:rPr>
        <w:t xml:space="preserve"> que tal contratação se faz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44B7F">
        <w:rPr>
          <w:rFonts w:ascii="Bookman Old Style" w:eastAsia="Calibri" w:hAnsi="Bookman Old Style"/>
          <w:sz w:val="24"/>
          <w:szCs w:val="24"/>
          <w:lang w:val="pt-BR"/>
        </w:rPr>
        <w:t xml:space="preserve">premente tendo em vista a necessidade de </w:t>
      </w:r>
      <w:r w:rsidR="0063779E">
        <w:rPr>
          <w:rFonts w:ascii="Bookman Old Style" w:eastAsia="Calibri" w:hAnsi="Bookman Old Style"/>
          <w:sz w:val="24"/>
          <w:szCs w:val="24"/>
          <w:lang w:val="pt-BR"/>
        </w:rPr>
        <w:t>reavaliação de eficácia terapêutica após 02 ciclos de tratamento quimioterápico, asseverando o caráter urgente do procedimento</w:t>
      </w:r>
      <w:r>
        <w:rPr>
          <w:rFonts w:ascii="Bookman Old Style" w:eastAsia="Calibri" w:hAnsi="Bookman Old Style"/>
          <w:sz w:val="24"/>
          <w:szCs w:val="24"/>
          <w:lang w:val="pt-BR"/>
        </w:rPr>
        <w:t>.</w:t>
      </w:r>
    </w:p>
    <w:p w:rsidR="00F44B7F" w:rsidRDefault="00F44B7F" w:rsidP="00F44B7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É a síntese necessária.</w:t>
      </w:r>
    </w:p>
    <w:p w:rsidR="00F44B7F" w:rsidRPr="00F44B7F" w:rsidRDefault="00F44B7F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>2 - Análise</w:t>
      </w:r>
    </w:p>
    <w:p w:rsidR="0063779E" w:rsidRDefault="0063779E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proofErr w:type="spellStart"/>
      <w:r>
        <w:rPr>
          <w:rFonts w:ascii="Bookman Old Style" w:eastAsia="Calibri" w:hAnsi="Bookman Old Style"/>
          <w:i/>
          <w:sz w:val="24"/>
          <w:szCs w:val="24"/>
          <w:lang w:val="pt-BR"/>
        </w:rPr>
        <w:t>Ab</w:t>
      </w:r>
      <w:proofErr w:type="spellEnd"/>
      <w:r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initio</w:t>
      </w:r>
      <w:r>
        <w:rPr>
          <w:rFonts w:ascii="Bookman Old Style" w:eastAsia="Calibri" w:hAnsi="Bookman Old Style"/>
          <w:sz w:val="24"/>
          <w:szCs w:val="24"/>
          <w:lang w:val="pt-BR"/>
        </w:rPr>
        <w:t>, convém observar que restou realizado procedimento licitatório de dispensa de licitação para realização de exame similar, em momento anterior, com a finalidade de definir a terapia quimioterápica apropriada ao paciente.</w:t>
      </w:r>
    </w:p>
    <w:p w:rsidR="0063779E" w:rsidRDefault="0063779E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lastRenderedPageBreak/>
        <w:t>Naquela oportunidade, o valor dispendido pelo ente público atingiu a cifra de R$ 3.400,00 (três mil e quatrocentos reais).</w:t>
      </w:r>
    </w:p>
    <w:p w:rsidR="0063779E" w:rsidRDefault="0063779E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Considerando a evolução do tratamento quimioterápico, surgiu a necessidade de reavaliação, conforme justificativa apresentada pelo Oncologist</w:t>
      </w:r>
      <w:r w:rsidR="00E9148F">
        <w:rPr>
          <w:rFonts w:ascii="Bookman Old Style" w:eastAsia="Calibri" w:hAnsi="Bookman Old Style"/>
          <w:sz w:val="24"/>
          <w:szCs w:val="24"/>
          <w:lang w:val="pt-BR"/>
        </w:rPr>
        <w:t xml:space="preserve">a Pediátrico Dr. Pablo </w:t>
      </w:r>
      <w:r>
        <w:rPr>
          <w:rFonts w:ascii="Bookman Old Style" w:eastAsia="Calibri" w:hAnsi="Bookman Old Style"/>
          <w:sz w:val="24"/>
          <w:szCs w:val="24"/>
          <w:lang w:val="pt-BR"/>
        </w:rPr>
        <w:t>Santiago.</w:t>
      </w:r>
    </w:p>
    <w:p w:rsidR="0063779E" w:rsidRDefault="0063779E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Assim, muito embora a existência de procedimento anterior de dispensa de licitação, considerando que mesmo somados os valores da dispensa de licitação outrora realizada pela administração com a despesa prevista neste procedimento, entendo ausente ilegalidade na adoção de idêntico proceder.</w:t>
      </w:r>
    </w:p>
    <w:p w:rsidR="0063779E" w:rsidRPr="0063779E" w:rsidRDefault="0063779E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Isto porque, da análise do processo ressai nítida e inconteste a urgência extrema na realização do exame, notadamente ante o quadro clínico extremamente delicado do paciente.</w:t>
      </w:r>
    </w:p>
    <w:p w:rsidR="00335ADB" w:rsidRPr="00F44B7F" w:rsidRDefault="00F44B7F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No caso em apreço, aplicáveis os dispositivos previstos na Lei 8.080/90, que dispõe sobre “</w:t>
      </w:r>
      <w:r w:rsidRPr="00F44B7F">
        <w:rPr>
          <w:rFonts w:ascii="Bookman Old Style" w:eastAsia="Calibri" w:hAnsi="Bookman Old Style"/>
          <w:i/>
          <w:sz w:val="24"/>
          <w:szCs w:val="24"/>
          <w:lang w:val="pt-BR"/>
        </w:rPr>
        <w:t>as condições para a promoção, proteção e recuperação da saúde, a organização e o funcionamento dos serviços correspondentes e dá outras providências</w:t>
      </w:r>
      <w:r>
        <w:rPr>
          <w:rFonts w:ascii="Bookman Old Style" w:eastAsia="Calibri" w:hAnsi="Bookman Old Style"/>
          <w:sz w:val="24"/>
          <w:szCs w:val="24"/>
          <w:lang w:val="pt-BR"/>
        </w:rPr>
        <w:t>”</w:t>
      </w:r>
      <w:r w:rsidRPr="00F44B7F">
        <w:rPr>
          <w:rFonts w:ascii="Bookman Old Style" w:eastAsia="Calibri" w:hAnsi="Bookman Old Style"/>
          <w:sz w:val="24"/>
          <w:szCs w:val="24"/>
          <w:lang w:val="pt-BR"/>
        </w:rPr>
        <w:t>.</w:t>
      </w:r>
    </w:p>
    <w:p w:rsidR="00335ADB" w:rsidRDefault="00F44B7F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Assim dispõe a referida norma:</w:t>
      </w:r>
    </w:p>
    <w:p w:rsidR="00115EB2" w:rsidRDefault="00115EB2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F44B7F" w:rsidRPr="00115EB2" w:rsidRDefault="00F44B7F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>Art. 18. À direção municipal do Sistema de Saúde (SUS) compete:</w:t>
      </w:r>
    </w:p>
    <w:p w:rsidR="00F44B7F" w:rsidRPr="00115EB2" w:rsidRDefault="00F44B7F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b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b/>
          <w:i/>
          <w:sz w:val="24"/>
          <w:szCs w:val="24"/>
          <w:lang w:val="pt-BR"/>
        </w:rPr>
        <w:t xml:space="preserve">I - </w:t>
      </w:r>
      <w:proofErr w:type="gramStart"/>
      <w:r w:rsidRPr="00115EB2">
        <w:rPr>
          <w:rFonts w:ascii="Bookman Old Style" w:eastAsia="Calibri" w:hAnsi="Bookman Old Style"/>
          <w:b/>
          <w:i/>
          <w:sz w:val="24"/>
          <w:szCs w:val="24"/>
          <w:lang w:val="pt-BR"/>
        </w:rPr>
        <w:t>planejar</w:t>
      </w:r>
      <w:proofErr w:type="gramEnd"/>
      <w:r w:rsidRPr="00115EB2">
        <w:rPr>
          <w:rFonts w:ascii="Bookman Old Style" w:eastAsia="Calibri" w:hAnsi="Bookman Old Style"/>
          <w:b/>
          <w:i/>
          <w:sz w:val="24"/>
          <w:szCs w:val="24"/>
          <w:lang w:val="pt-BR"/>
        </w:rPr>
        <w:t>, organizar, controlar e avaliar as ações e os serviços de saúde e gerir e executar os serviços públicos de saúde;</w:t>
      </w:r>
    </w:p>
    <w:p w:rsidR="00F44B7F" w:rsidRPr="00115EB2" w:rsidRDefault="00F44B7F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IV - </w:t>
      </w:r>
      <w:proofErr w:type="gramStart"/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>executar</w:t>
      </w:r>
      <w:proofErr w:type="gramEnd"/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serviços:</w:t>
      </w:r>
    </w:p>
    <w:p w:rsidR="00115EB2" w:rsidRP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>(...)</w:t>
      </w:r>
    </w:p>
    <w:p w:rsidR="00F44B7F" w:rsidRPr="00115EB2" w:rsidRDefault="00F44B7F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b/>
          <w:i/>
          <w:sz w:val="24"/>
          <w:szCs w:val="24"/>
          <w:lang w:val="pt-BR"/>
        </w:rPr>
        <w:t xml:space="preserve">V - </w:t>
      </w:r>
      <w:proofErr w:type="gramStart"/>
      <w:r w:rsidRPr="00115EB2">
        <w:rPr>
          <w:rFonts w:ascii="Bookman Old Style" w:eastAsia="Calibri" w:hAnsi="Bookman Old Style"/>
          <w:b/>
          <w:i/>
          <w:sz w:val="24"/>
          <w:szCs w:val="24"/>
          <w:lang w:val="pt-BR"/>
        </w:rPr>
        <w:t>dar</w:t>
      </w:r>
      <w:proofErr w:type="gramEnd"/>
      <w:r w:rsidRPr="00115EB2">
        <w:rPr>
          <w:rFonts w:ascii="Bookman Old Style" w:eastAsia="Calibri" w:hAnsi="Bookman Old Style"/>
          <w:b/>
          <w:i/>
          <w:sz w:val="24"/>
          <w:szCs w:val="24"/>
          <w:lang w:val="pt-BR"/>
        </w:rPr>
        <w:t xml:space="preserve"> execução, no âmbito municipal, à política de insumos e equipamentos para a saúde</w:t>
      </w: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>;</w:t>
      </w:r>
    </w:p>
    <w:p w:rsidR="00F44B7F" w:rsidRDefault="00F44B7F" w:rsidP="00115EB2">
      <w:pPr>
        <w:widowControl/>
        <w:autoSpaceDE/>
        <w:autoSpaceDN/>
        <w:spacing w:line="276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</w:p>
    <w:p w:rsidR="00115EB2" w:rsidRDefault="00115EB2" w:rsidP="00F44B7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lastRenderedPageBreak/>
        <w:t>No mesmo sentido, o Art. 30 da Constituição Federal:</w:t>
      </w:r>
    </w:p>
    <w:p w:rsid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</w:p>
    <w:p w:rsid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>Art. 30. Compete aos Municípios:</w:t>
      </w:r>
    </w:p>
    <w:p w:rsidR="00115EB2" w:rsidRP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>
        <w:rPr>
          <w:rFonts w:ascii="Bookman Old Style" w:eastAsia="Calibri" w:hAnsi="Bookman Old Style"/>
          <w:i/>
          <w:sz w:val="24"/>
          <w:szCs w:val="24"/>
          <w:lang w:val="pt-BR"/>
        </w:rPr>
        <w:t>(...)</w:t>
      </w:r>
    </w:p>
    <w:p w:rsidR="00115EB2" w:rsidRP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b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b/>
          <w:i/>
          <w:sz w:val="24"/>
          <w:szCs w:val="24"/>
          <w:lang w:val="pt-BR"/>
        </w:rPr>
        <w:t>VII - prestar, com a cooperação técnica e financeira da União e do Estado, serviços de atendimento à saúde da população;</w:t>
      </w:r>
    </w:p>
    <w:p w:rsidR="00115EB2" w:rsidRPr="0063779E" w:rsidRDefault="00115EB2" w:rsidP="00F44B7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u w:val="single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 xml:space="preserve">Considerando ainda que </w:t>
      </w:r>
      <w:r w:rsidRPr="0063779E">
        <w:rPr>
          <w:rFonts w:ascii="Bookman Old Style" w:eastAsia="Calibri" w:hAnsi="Bookman Old Style"/>
          <w:b/>
          <w:sz w:val="24"/>
          <w:szCs w:val="24"/>
          <w:u w:val="single"/>
          <w:lang w:val="pt-BR"/>
        </w:rPr>
        <w:t>o paciente é adolescente, entendo por aplicáveis os dispositivos legais previstos no Estatuto da Criança e do Adolescente, que assim dispõe:</w:t>
      </w:r>
    </w:p>
    <w:p w:rsidR="00F94990" w:rsidRDefault="00F94990" w:rsidP="00F44B7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115EB2" w:rsidRP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Art. 4º É dever da família, da comunidade, da sociedade em geral e </w:t>
      </w:r>
      <w:r w:rsidRPr="00115EB2">
        <w:rPr>
          <w:rFonts w:ascii="Bookman Old Style" w:eastAsia="Calibri" w:hAnsi="Bookman Old Style"/>
          <w:i/>
          <w:sz w:val="24"/>
          <w:szCs w:val="24"/>
          <w:u w:val="single"/>
          <w:lang w:val="pt-BR"/>
        </w:rPr>
        <w:t>do poder público</w:t>
      </w: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115EB2">
        <w:rPr>
          <w:rFonts w:ascii="Bookman Old Style" w:eastAsia="Calibri" w:hAnsi="Bookman Old Style"/>
          <w:i/>
          <w:sz w:val="24"/>
          <w:szCs w:val="24"/>
          <w:u w:val="single"/>
          <w:lang w:val="pt-BR"/>
        </w:rPr>
        <w:t>assegurar, com absoluta prioridade</w:t>
      </w: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, a efetivação dos direitos referentes à vida, </w:t>
      </w:r>
      <w:r w:rsidRPr="00115EB2">
        <w:rPr>
          <w:rFonts w:ascii="Bookman Old Style" w:eastAsia="Calibri" w:hAnsi="Bookman Old Style"/>
          <w:i/>
          <w:sz w:val="24"/>
          <w:szCs w:val="24"/>
          <w:u w:val="single"/>
          <w:lang w:val="pt-BR"/>
        </w:rPr>
        <w:t>à saúde,</w:t>
      </w: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à alimentação, à educação, ao esporte, ao lazer, à profissionalização, à cultura, à dignidade, ao respeito, à liberdade e à convivência familiar e comunitária.</w:t>
      </w:r>
    </w:p>
    <w:p w:rsidR="00115EB2" w:rsidRP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u w:val="single"/>
          <w:lang w:val="pt-BR"/>
        </w:rPr>
      </w:pPr>
      <w:bookmarkStart w:id="1" w:name="art4p"/>
      <w:bookmarkEnd w:id="1"/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Parágrafo único. </w:t>
      </w:r>
      <w:r w:rsidRPr="00115EB2">
        <w:rPr>
          <w:rFonts w:ascii="Bookman Old Style" w:eastAsia="Calibri" w:hAnsi="Bookman Old Style"/>
          <w:i/>
          <w:sz w:val="24"/>
          <w:szCs w:val="24"/>
          <w:u w:val="single"/>
          <w:lang w:val="pt-BR"/>
        </w:rPr>
        <w:t>A garantia de prioridade compreende:</w:t>
      </w:r>
    </w:p>
    <w:p w:rsidR="009B0026" w:rsidRDefault="009B0026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bookmarkStart w:id="2" w:name="art4pa"/>
      <w:bookmarkEnd w:id="2"/>
    </w:p>
    <w:p w:rsidR="00115EB2" w:rsidRP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>a) primazia de receber proteção e socorro em quaisquer circunstâncias;</w:t>
      </w:r>
    </w:p>
    <w:p w:rsidR="009B0026" w:rsidRDefault="009B0026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bookmarkStart w:id="3" w:name="art4pb"/>
      <w:bookmarkEnd w:id="3"/>
    </w:p>
    <w:p w:rsidR="00115EB2" w:rsidRPr="00115EB2" w:rsidRDefault="00115EB2" w:rsidP="00115EB2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u w:val="single"/>
          <w:lang w:val="pt-BR"/>
        </w:rPr>
      </w:pPr>
      <w:r w:rsidRPr="00115EB2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b) </w:t>
      </w:r>
      <w:r w:rsidRPr="00115EB2">
        <w:rPr>
          <w:rFonts w:ascii="Bookman Old Style" w:eastAsia="Calibri" w:hAnsi="Bookman Old Style"/>
          <w:i/>
          <w:sz w:val="24"/>
          <w:szCs w:val="24"/>
          <w:u w:val="single"/>
          <w:lang w:val="pt-BR"/>
        </w:rPr>
        <w:t>precedência de atendimento nos serviços públicos ou de relevância pública;</w:t>
      </w:r>
    </w:p>
    <w:p w:rsidR="00115EB2" w:rsidRDefault="009B0026" w:rsidP="00F44B7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bookmarkStart w:id="4" w:name="art4pc"/>
      <w:bookmarkEnd w:id="4"/>
      <w:r>
        <w:rPr>
          <w:rFonts w:ascii="Bookman Old Style" w:eastAsia="Calibri" w:hAnsi="Bookman Old Style"/>
          <w:sz w:val="24"/>
          <w:szCs w:val="24"/>
          <w:lang w:val="pt-BR"/>
        </w:rPr>
        <w:t>Quanto à garantia de prestação dos serviços indispensáveis ao tratamento da criança e do adolescente, convém transcrever:</w:t>
      </w:r>
    </w:p>
    <w:p w:rsidR="009B0026" w:rsidRDefault="009B0026" w:rsidP="00F44B7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9B0026" w:rsidRPr="009B0026" w:rsidRDefault="00115EB2" w:rsidP="009B0026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Art. 11.  É assegurado acesso integral às linhas de cuidado voltadas à saúde da criança e do adolescente, </w:t>
      </w:r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lastRenderedPageBreak/>
        <w:t xml:space="preserve">por intermédio do Sistema Único de Saúde, observado o princípio da equidade no acesso a ações e serviços para promoção, proteção e recuperação da saúde. </w:t>
      </w:r>
    </w:p>
    <w:p w:rsidR="009B0026" w:rsidRDefault="009B0026" w:rsidP="009B0026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</w:p>
    <w:p w:rsidR="009B0026" w:rsidRDefault="009B0026" w:rsidP="009B0026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>
        <w:rPr>
          <w:rFonts w:ascii="Bookman Old Style" w:eastAsia="Calibri" w:hAnsi="Bookman Old Style"/>
          <w:i/>
          <w:sz w:val="24"/>
          <w:szCs w:val="24"/>
          <w:lang w:val="pt-BR"/>
        </w:rPr>
        <w:t>(...)</w:t>
      </w:r>
    </w:p>
    <w:p w:rsidR="00115EB2" w:rsidRPr="009B0026" w:rsidRDefault="009B0026" w:rsidP="009B0026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>
        <w:rPr>
          <w:rFonts w:ascii="Bookman Old Style" w:eastAsia="Calibri" w:hAnsi="Bookman Old Style"/>
          <w:i/>
          <w:sz w:val="24"/>
          <w:szCs w:val="24"/>
          <w:lang w:val="pt-BR"/>
        </w:rPr>
        <w:t>§ 2º</w:t>
      </w:r>
      <w:r w:rsidR="00115EB2"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="00115EB2" w:rsidRPr="009B0026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>Incumbe ao poder público fornecer gratuitamente, àqueles que necessitarem</w:t>
      </w:r>
      <w:r w:rsidR="00115EB2"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, medicamentos, órteses, próteses e outras </w:t>
      </w:r>
      <w:r w:rsidR="00115EB2" w:rsidRPr="009B0026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 xml:space="preserve">tecnologias </w:t>
      </w:r>
      <w:proofErr w:type="spellStart"/>
      <w:r w:rsidR="00115EB2" w:rsidRPr="009B0026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>assistivas</w:t>
      </w:r>
      <w:proofErr w:type="spellEnd"/>
      <w:r w:rsidR="00115EB2" w:rsidRPr="009B0026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 xml:space="preserve"> relativas ao tratamento</w:t>
      </w:r>
      <w:r w:rsidR="00115EB2"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, habilitação ou reabilitação para crianças e adolescentes, de acordo com as linhas de cuidado voltadas às suas necessidades específicas. </w:t>
      </w:r>
    </w:p>
    <w:p w:rsidR="00F94990" w:rsidRDefault="00F9499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335ADB" w:rsidRDefault="009B0026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No caso específico, o paciente E</w:t>
      </w:r>
      <w:r w:rsidR="00E529E5">
        <w:rPr>
          <w:rFonts w:ascii="Bookman Old Style" w:eastAsia="Calibri" w:hAnsi="Bookman Old Style"/>
          <w:sz w:val="24"/>
          <w:szCs w:val="24"/>
          <w:lang w:val="pt-BR"/>
        </w:rPr>
        <w:t>.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S</w:t>
      </w:r>
      <w:r w:rsidR="00E529E5">
        <w:rPr>
          <w:rFonts w:ascii="Bookman Old Style" w:eastAsia="Calibri" w:hAnsi="Bookman Old Style"/>
          <w:sz w:val="24"/>
          <w:szCs w:val="24"/>
          <w:lang w:val="pt-BR"/>
        </w:rPr>
        <w:t>.</w:t>
      </w:r>
      <w:r>
        <w:rPr>
          <w:rFonts w:ascii="Bookman Old Style" w:eastAsia="Calibri" w:hAnsi="Bookman Old Style"/>
          <w:sz w:val="24"/>
          <w:szCs w:val="24"/>
          <w:lang w:val="pt-BR"/>
        </w:rPr>
        <w:t>, com 17 anos de idade, é portador de Linfoma de Hodgkin Clássico, que é descrito na literatura médica como:</w:t>
      </w:r>
    </w:p>
    <w:p w:rsidR="00F94990" w:rsidRDefault="00F9499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9B0026" w:rsidRPr="009B0026" w:rsidRDefault="009B0026" w:rsidP="009B0026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“</w:t>
      </w:r>
      <w:proofErr w:type="gramStart"/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t>um</w:t>
      </w:r>
      <w:proofErr w:type="gramEnd"/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tipo de câncer que se origina no sistema linfático, conjunto composto por órgãos (linfonodos ou gânglios) e tecidos que produzem as células responsáveis pela imunidade e vasos que conduzem essas células através do corpo.</w:t>
      </w:r>
    </w:p>
    <w:p w:rsidR="009B0026" w:rsidRPr="009B0026" w:rsidRDefault="009B0026" w:rsidP="009B0026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</w:p>
    <w:p w:rsidR="009B0026" w:rsidRPr="009B0026" w:rsidRDefault="009B0026" w:rsidP="009B0026">
      <w:pPr>
        <w:widowControl/>
        <w:autoSpaceDE/>
        <w:autoSpaceDN/>
        <w:spacing w:line="360" w:lineRule="auto"/>
        <w:ind w:left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O linfoma de Hodgkin </w:t>
      </w:r>
      <w:r w:rsidRPr="009B0026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>tem a característica de se espalhar de forma ordenada, de um grupo de linfonodos para outro grupo, por meio dos vasos linfáticos.</w:t>
      </w:r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A doença surge quando um linfócito (célula de defesa do corpo), mais frequentemente um do tipo B, se transforma em uma célula maligna, capaz de multiplicar-se descontroladamente e disseminar-se. A célula maligna começa a produzir, nos linfonodos, cópias idênticas, </w:t>
      </w:r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lastRenderedPageBreak/>
        <w:t xml:space="preserve">também chamadas de clones. </w:t>
      </w:r>
      <w:r w:rsidRPr="009B0026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>Com o passar do tempo, essas células malignas podem se disseminar para tecidos próximos, e, se não tratadas, podem atingir outras partes do corpo.</w:t>
      </w:r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A doença origina-se com maior frequência na região do pescoço e na região do tórax denominada </w:t>
      </w:r>
      <w:proofErr w:type="gramStart"/>
      <w:r w:rsidRPr="009B0026">
        <w:rPr>
          <w:rFonts w:ascii="Bookman Old Style" w:eastAsia="Calibri" w:hAnsi="Bookman Old Style"/>
          <w:i/>
          <w:sz w:val="24"/>
          <w:szCs w:val="24"/>
          <w:lang w:val="pt-BR"/>
        </w:rPr>
        <w:t>mediastino.</w:t>
      </w:r>
      <w:r>
        <w:rPr>
          <w:rFonts w:ascii="Bookman Old Style" w:eastAsia="Calibri" w:hAnsi="Bookman Old Style"/>
          <w:sz w:val="24"/>
          <w:szCs w:val="24"/>
          <w:lang w:val="pt-BR"/>
        </w:rPr>
        <w:t>”</w:t>
      </w:r>
      <w:proofErr w:type="gramEnd"/>
    </w:p>
    <w:p w:rsidR="00335ADB" w:rsidRDefault="009B0026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O paciente em questão possui diagnóstico confirmado da doença, atingindo atualmente linfonodos cervical e inguinal, conforme prontuário em anexo.</w:t>
      </w:r>
    </w:p>
    <w:p w:rsidR="009B0026" w:rsidRDefault="009B0026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O pleito de urgência está amparado no fato de que a demora na realização do exame representa risco de alastramento e irreversibilidade do quadro, representando, portanto, risco à vida do adolescente.</w:t>
      </w:r>
    </w:p>
    <w:p w:rsidR="009B0026" w:rsidRPr="009B0026" w:rsidRDefault="009B0026" w:rsidP="009B0026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sz w:val="24"/>
          <w:szCs w:val="24"/>
          <w:lang w:val="pt-BR"/>
        </w:rPr>
        <w:t>A Lei 8.666, de 21 de junho de 1993, estabelece que:</w:t>
      </w:r>
    </w:p>
    <w:p w:rsidR="009B0026" w:rsidRPr="009B0026" w:rsidRDefault="009B0026" w:rsidP="009B0026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sz w:val="24"/>
          <w:szCs w:val="24"/>
          <w:lang w:val="pt-BR"/>
        </w:rPr>
        <w:t>Art. 24. É dispensável a licitação:</w:t>
      </w:r>
    </w:p>
    <w:p w:rsidR="009B0026" w:rsidRPr="009B0026" w:rsidRDefault="009B0026" w:rsidP="009B0026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sz w:val="24"/>
          <w:szCs w:val="24"/>
          <w:lang w:val="pt-BR"/>
        </w:rPr>
        <w:t>(…)</w:t>
      </w:r>
    </w:p>
    <w:p w:rsidR="009B0026" w:rsidRPr="00F94990" w:rsidRDefault="009B0026" w:rsidP="00F94990">
      <w:pPr>
        <w:widowControl/>
        <w:autoSpaceDE/>
        <w:autoSpaceDN/>
        <w:spacing w:before="240" w:line="360" w:lineRule="auto"/>
        <w:ind w:left="1843"/>
        <w:jc w:val="both"/>
        <w:rPr>
          <w:rFonts w:ascii="Bookman Old Style" w:eastAsia="Calibri" w:hAnsi="Bookman Old Style"/>
          <w:i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>IV – nos casos de emergência ou de calamidade pública,</w:t>
      </w:r>
      <w:r w:rsidR="00F94990"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>quando caracterizada urgência de atendimento de situação</w:t>
      </w:r>
      <w:r w:rsidR="00F94990" w:rsidRPr="00F94990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 xml:space="preserve"> </w:t>
      </w:r>
      <w:r w:rsidRPr="00F94990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>que possa ocasionar prejuízo ou comprometer a segurança</w:t>
      </w:r>
      <w:r w:rsidR="00F94990" w:rsidRPr="00F94990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 xml:space="preserve"> </w:t>
      </w:r>
      <w:r w:rsidRPr="00F94990">
        <w:rPr>
          <w:rFonts w:ascii="Bookman Old Style" w:eastAsia="Calibri" w:hAnsi="Bookman Old Style"/>
          <w:b/>
          <w:i/>
          <w:sz w:val="24"/>
          <w:szCs w:val="24"/>
          <w:u w:val="single"/>
          <w:lang w:val="pt-BR"/>
        </w:rPr>
        <w:t>de pessoas</w:t>
      </w: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>, obras, serviços, equipamentos e outros bens,</w:t>
      </w:r>
      <w:r w:rsidR="00F94990"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públicos ou particulares, e </w:t>
      </w:r>
      <w:r w:rsidRPr="00F94990">
        <w:rPr>
          <w:rFonts w:ascii="Bookman Old Style" w:eastAsia="Calibri" w:hAnsi="Bookman Old Style"/>
          <w:b/>
          <w:i/>
          <w:sz w:val="24"/>
          <w:szCs w:val="24"/>
          <w:lang w:val="pt-BR"/>
        </w:rPr>
        <w:t>somente para os bens necessários</w:t>
      </w:r>
      <w:r w:rsidR="00F94990" w:rsidRPr="00F94990">
        <w:rPr>
          <w:rFonts w:ascii="Bookman Old Style" w:eastAsia="Calibri" w:hAnsi="Bookman Old Style"/>
          <w:b/>
          <w:i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b/>
          <w:i/>
          <w:sz w:val="24"/>
          <w:szCs w:val="24"/>
          <w:lang w:val="pt-BR"/>
        </w:rPr>
        <w:t>ao atendimento da situação emergencial</w:t>
      </w: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ou calamitosa e para</w:t>
      </w:r>
      <w:r w:rsidR="00F94990"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>as parcelas de obras e serviços que possam ser concluídas</w:t>
      </w:r>
      <w:r w:rsidR="00F94990"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>no prazo máximo de 180 (cento e oitenta) dias consecutivos</w:t>
      </w:r>
      <w:r w:rsidR="00F94990"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>e ininterruptos, contados da ocorrência da emergência ou</w:t>
      </w:r>
      <w:r w:rsidR="00F94990" w:rsidRPr="00F94990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i/>
          <w:sz w:val="24"/>
          <w:szCs w:val="24"/>
          <w:lang w:val="pt-BR"/>
        </w:rPr>
        <w:t>calamidade, vedada a prorrogação dos respectivos contratos;</w:t>
      </w:r>
    </w:p>
    <w:p w:rsidR="009B0026" w:rsidRPr="009B0026" w:rsidRDefault="009B0026" w:rsidP="009B0026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sz w:val="24"/>
          <w:szCs w:val="24"/>
          <w:lang w:val="pt-BR"/>
        </w:rPr>
        <w:lastRenderedPageBreak/>
        <w:t>(…) [grifamos]</w:t>
      </w:r>
    </w:p>
    <w:p w:rsidR="009B0026" w:rsidRPr="009B0026" w:rsidRDefault="009B0026" w:rsidP="009B0026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sz w:val="24"/>
          <w:szCs w:val="24"/>
          <w:lang w:val="pt-BR"/>
        </w:rPr>
        <w:t>A contratação administrativa pressupõe atendimento às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 xml:space="preserve">necessidades coletivas e </w:t>
      </w:r>
      <w:proofErr w:type="spellStart"/>
      <w:r w:rsidRPr="009B0026">
        <w:rPr>
          <w:rFonts w:ascii="Bookman Old Style" w:eastAsia="Calibri" w:hAnsi="Bookman Old Style"/>
          <w:sz w:val="24"/>
          <w:szCs w:val="24"/>
          <w:lang w:val="pt-BR"/>
        </w:rPr>
        <w:t>supraindividuais</w:t>
      </w:r>
      <w:proofErr w:type="spellEnd"/>
      <w:r w:rsidRPr="009B0026">
        <w:rPr>
          <w:rFonts w:ascii="Bookman Old Style" w:eastAsia="Calibri" w:hAnsi="Bookman Old Style"/>
          <w:sz w:val="24"/>
          <w:szCs w:val="24"/>
          <w:lang w:val="pt-BR"/>
        </w:rPr>
        <w:t>. Isso significa que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a ausência da contratação representaria um prejuízo para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o bem público. Se inexistisse um interesse em risco, nem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caberia intervenção do Estado. A atividade pública não pode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ser suprimida ou diferida para o futuro. Afinal, essas são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características inerentes à Administração Pública.</w:t>
      </w:r>
    </w:p>
    <w:p w:rsidR="009B0026" w:rsidRPr="009B0026" w:rsidRDefault="009B0026" w:rsidP="009B0026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9B0026">
        <w:rPr>
          <w:rFonts w:ascii="Bookman Old Style" w:eastAsia="Calibri" w:hAnsi="Bookman Old Style"/>
          <w:sz w:val="24"/>
          <w:szCs w:val="24"/>
          <w:lang w:val="pt-BR"/>
        </w:rPr>
        <w:t xml:space="preserve">Na generalidade dos casos em que o Estado </w:t>
      </w:r>
      <w:proofErr w:type="gramStart"/>
      <w:r w:rsidRPr="009B0026">
        <w:rPr>
          <w:rFonts w:ascii="Bookman Old Style" w:eastAsia="Calibri" w:hAnsi="Bookman Old Style"/>
          <w:sz w:val="24"/>
          <w:szCs w:val="24"/>
          <w:lang w:val="pt-BR"/>
        </w:rPr>
        <w:t>dispõe-se</w:t>
      </w:r>
      <w:proofErr w:type="gramEnd"/>
      <w:r w:rsidRPr="009B0026">
        <w:rPr>
          <w:rFonts w:ascii="Bookman Old Style" w:eastAsia="Calibri" w:hAnsi="Bookman Old Style"/>
          <w:sz w:val="24"/>
          <w:szCs w:val="24"/>
          <w:lang w:val="pt-BR"/>
        </w:rPr>
        <w:t xml:space="preserve"> a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 xml:space="preserve">contratar, é motivado a atuar para evitar </w:t>
      </w:r>
      <w:proofErr w:type="spellStart"/>
      <w:r w:rsidRPr="009B0026">
        <w:rPr>
          <w:rFonts w:ascii="Bookman Old Style" w:eastAsia="Calibri" w:hAnsi="Bookman Old Style"/>
          <w:sz w:val="24"/>
          <w:szCs w:val="24"/>
          <w:lang w:val="pt-BR"/>
        </w:rPr>
        <w:t>dano</w:t>
      </w:r>
      <w:proofErr w:type="spellEnd"/>
      <w:r w:rsidRPr="009B0026">
        <w:rPr>
          <w:rFonts w:ascii="Bookman Old Style" w:eastAsia="Calibri" w:hAnsi="Bookman Old Style"/>
          <w:sz w:val="24"/>
          <w:szCs w:val="24"/>
          <w:lang w:val="pt-BR"/>
        </w:rPr>
        <w:t xml:space="preserve"> potencial. Toda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e qualquer contratação administrativa retrata a necessidade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e a conveniência de uma atuação conjugada entre o Estado</w:t>
      </w:r>
      <w:r w:rsid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9B0026">
        <w:rPr>
          <w:rFonts w:ascii="Bookman Old Style" w:eastAsia="Calibri" w:hAnsi="Bookman Old Style"/>
          <w:sz w:val="24"/>
          <w:szCs w:val="24"/>
          <w:lang w:val="pt-BR"/>
        </w:rPr>
        <w:t>e terceiros.</w:t>
      </w:r>
    </w:p>
    <w:p w:rsid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Todos os ramos do Direito contêm regras específicas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 propósito de situações emergenciais. No direito público,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é ainda maior a relevância do fenômeno. Trata-se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manifestação do instituto da “necessidade”. Nele estão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abrangidas todas as situações de excepcionalidade,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caracterizadas pela anormalidade. A necessidade (aí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abrangida a emergência) retrata-se na existência de situação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fática onde há potencial de dano caso sejam aplicadas as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regras-padrão.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Observe-se que o conceito não é meramente “fático”. Ou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seja, emergência não é simplesmente uma situação fática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anormal. A emergência é um conceito relacional entre 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situação fática anormal e a realização de certos valores.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Somente se pode entender o conceito de emergência quando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compreendemos a natureza teleológica das regras jurídicas.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A emergência consiste em ocorrência fática que produz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modificação na situação visualizada pelo legislador como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padrão. A ocorrência anômala (emergência) conduzirá ao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sacrifício de certos valores se for mantida a disciplina jurídica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estabelecida como regra geral. A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lastRenderedPageBreak/>
        <w:t>situação emergencial põe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em risco a satisfação dos valores buscados pela própria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norma ou pelo ordenamento em seu todo.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No caso específico das contratações diretas via dispensa,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a emergência significa </w:t>
      </w:r>
      <w:r w:rsidRPr="001A0939">
        <w:rPr>
          <w:rFonts w:ascii="Bookman Old Style" w:eastAsia="Calibri" w:hAnsi="Bookman Old Style"/>
          <w:b/>
          <w:sz w:val="24"/>
          <w:szCs w:val="24"/>
          <w:u w:val="single"/>
          <w:lang w:val="pt-BR"/>
        </w:rPr>
        <w:t>necessidade de atendimento imediato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 certos interesses. Demora em realizar a prestação produziria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1A0939">
        <w:rPr>
          <w:rFonts w:ascii="Bookman Old Style" w:eastAsia="Calibri" w:hAnsi="Bookman Old Style"/>
          <w:b/>
          <w:sz w:val="24"/>
          <w:szCs w:val="24"/>
          <w:u w:val="single"/>
          <w:lang w:val="pt-BR"/>
        </w:rPr>
        <w:t>risco de sacrifício de valores tutelados pelo ordenamento jurídico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. Como a licitação pressupõe certa demora para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seu trâmite, submeter a contratação ao processo licitatório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propiciaria a concretização do sacrifício a esses valores.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Para dispensa da licitação, incumbe à Administração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avaliar a presença de dois requisitos: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a) Demonstração concreta e efetiva da potencialidade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dano: a urgência deve ser concreta e efetiva. Não se trata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de urgência simplesmente teórica. Deve ser evidenciada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 situação concreta existente, indicando-se os dados que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evidenciam a urgência;</w:t>
      </w:r>
    </w:p>
    <w:p w:rsidR="001A0939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b) Demonstração de que a contratação é via adequada 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efetiva para eliminar o risco: a contratação imediata apenas será admissível se evidenciado que será instrumento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adequado e eficiente para eliminar o risco. Se o risco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dano não for suprimido através da contratação, inexiste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cabimento da dispensa de licitação. 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Trata-se, portanto,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de expor a relação de causalidade entre a ausência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contratação e a ocorrência de dano – ou, mais precisamente, a relação de causalidade entre a contratação e 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supressão do risco de dano.</w:t>
      </w:r>
    </w:p>
    <w:p w:rsidR="00F94990" w:rsidRPr="00F94990" w:rsidRDefault="001A0939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Convém transcrever do parecer médico</w:t>
      </w:r>
      <w:r w:rsidR="00F94990" w:rsidRPr="00F94990">
        <w:rPr>
          <w:rFonts w:ascii="Bookman Old Style" w:eastAsia="Calibri" w:hAnsi="Bookman Old Style"/>
          <w:sz w:val="24"/>
          <w:szCs w:val="24"/>
          <w:lang w:val="pt-BR"/>
        </w:rPr>
        <w:t>:</w:t>
      </w:r>
    </w:p>
    <w:p w:rsidR="00F94990" w:rsidRPr="001A0939" w:rsidRDefault="001A0939" w:rsidP="001A0939">
      <w:pPr>
        <w:widowControl/>
        <w:autoSpaceDE/>
        <w:autoSpaceDN/>
        <w:spacing w:before="240" w:line="360" w:lineRule="auto"/>
        <w:ind w:left="1985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1A0939">
        <w:rPr>
          <w:rFonts w:ascii="Bookman Old Style" w:eastAsia="Calibri" w:hAnsi="Bookman Old Style"/>
          <w:b/>
          <w:sz w:val="24"/>
          <w:szCs w:val="24"/>
          <w:lang w:val="pt-BR"/>
        </w:rPr>
        <w:t>“</w:t>
      </w:r>
      <w:r w:rsidR="00EF6D85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Paciente com linfoma de Hodgkin necessita reavaliação após 02 </w:t>
      </w:r>
      <w:proofErr w:type="spellStart"/>
      <w:r w:rsidR="00EF6D85">
        <w:rPr>
          <w:rFonts w:ascii="Bookman Old Style" w:eastAsia="Calibri" w:hAnsi="Bookman Old Style"/>
          <w:b/>
          <w:sz w:val="24"/>
          <w:szCs w:val="24"/>
          <w:lang w:val="pt-BR"/>
        </w:rPr>
        <w:t>cilcos</w:t>
      </w:r>
      <w:proofErr w:type="spellEnd"/>
      <w:r w:rsidR="00EF6D85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 de quimioterapia. Para </w:t>
      </w:r>
      <w:r w:rsidR="00EF6D85">
        <w:rPr>
          <w:rFonts w:ascii="Bookman Old Style" w:eastAsia="Calibri" w:hAnsi="Bookman Old Style"/>
          <w:b/>
          <w:sz w:val="24"/>
          <w:szCs w:val="24"/>
          <w:lang w:val="pt-BR"/>
        </w:rPr>
        <w:lastRenderedPageBreak/>
        <w:t>isso, o exame necessita ser realizado na segunda quinzena de setembro</w:t>
      </w:r>
      <w:r w:rsidR="00F94990" w:rsidRPr="001A0939">
        <w:rPr>
          <w:rFonts w:ascii="Bookman Old Style" w:eastAsia="Calibri" w:hAnsi="Bookman Old Style"/>
          <w:b/>
          <w:sz w:val="24"/>
          <w:szCs w:val="24"/>
          <w:lang w:val="pt-BR"/>
        </w:rPr>
        <w:t>”</w:t>
      </w:r>
      <w:r w:rsidR="00EF6D85">
        <w:rPr>
          <w:rFonts w:ascii="Bookman Old Style" w:eastAsia="Calibri" w:hAnsi="Bookman Old Style"/>
          <w:b/>
          <w:sz w:val="24"/>
          <w:szCs w:val="24"/>
          <w:lang w:val="pt-BR"/>
        </w:rPr>
        <w:t>.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No caso premente, o risco é potencial e iminente, pois para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tanto, d</w:t>
      </w:r>
      <w:r w:rsidR="001A0939">
        <w:rPr>
          <w:rFonts w:ascii="Bookman Old Style" w:eastAsia="Calibri" w:hAnsi="Bookman Old Style"/>
          <w:sz w:val="24"/>
          <w:szCs w:val="24"/>
          <w:lang w:val="pt-BR"/>
        </w:rPr>
        <w:t>eixar o paciente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 à mingua de toda sorte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esperando que se concretize processo licitatório para que se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viabilize o exame conforme solicitação que compõe receituário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médico anexo, DE SORTE QUE OCORRENDO DEMORA NA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CONFECÇÃO DO EXAME, RESULTAR NO AGRAVAMENTO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1A0939">
        <w:rPr>
          <w:rFonts w:ascii="Bookman Old Style" w:eastAsia="Calibri" w:hAnsi="Bookman Old Style"/>
          <w:sz w:val="24"/>
          <w:szCs w:val="24"/>
          <w:lang w:val="pt-BR"/>
        </w:rPr>
        <w:t>DEMASIADO DO QUADRO DO PACIENTE.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De arremate, impende-nos </w:t>
      </w:r>
      <w:r w:rsidR="001A0939">
        <w:rPr>
          <w:rFonts w:ascii="Bookman Old Style" w:eastAsia="Calibri" w:hAnsi="Bookman Old Style"/>
          <w:sz w:val="24"/>
          <w:szCs w:val="24"/>
          <w:lang w:val="pt-BR"/>
        </w:rPr>
        <w:t>realçar que a contratação por dispensa emergencial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 haverá de ser feita tão-somente no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limite do indispensável ao afastamento do risco. Em outras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1A0939">
        <w:rPr>
          <w:rFonts w:ascii="Bookman Old Style" w:eastAsia="Calibri" w:hAnsi="Bookman Old Style"/>
          <w:sz w:val="24"/>
          <w:szCs w:val="24"/>
          <w:lang w:val="pt-BR"/>
        </w:rPr>
        <w:t>palavras, a realização do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1A0939">
        <w:rPr>
          <w:rFonts w:ascii="Bookman Old Style" w:eastAsia="Calibri" w:hAnsi="Bookman Old Style"/>
          <w:sz w:val="24"/>
          <w:szCs w:val="24"/>
          <w:lang w:val="pt-BR"/>
        </w:rPr>
        <w:t>exame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 com o fito de </w:t>
      </w:r>
      <w:r w:rsidR="00EF6D85">
        <w:rPr>
          <w:rFonts w:ascii="Bookman Old Style" w:eastAsia="Calibri" w:hAnsi="Bookman Old Style"/>
          <w:sz w:val="24"/>
          <w:szCs w:val="24"/>
          <w:lang w:val="pt-BR"/>
        </w:rPr>
        <w:t>reavaliação da eficácia terapêutica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, espancando o risco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grave prejuízo;</w:t>
      </w:r>
    </w:p>
    <w:p w:rsidR="00F94990" w:rsidRPr="001A0939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1A0939" w:rsidRPr="001A0939">
        <w:rPr>
          <w:rFonts w:ascii="Bookman Old Style" w:eastAsia="Calibri" w:hAnsi="Bookman Old Style"/>
          <w:b/>
          <w:sz w:val="24"/>
          <w:szCs w:val="24"/>
          <w:lang w:val="pt-BR"/>
        </w:rPr>
        <w:t>3. CONCLUSÃO</w:t>
      </w:r>
      <w:r w:rsidRPr="001A0939">
        <w:rPr>
          <w:rFonts w:ascii="Bookman Old Style" w:eastAsia="Calibri" w:hAnsi="Bookman Old Style"/>
          <w:b/>
          <w:sz w:val="24"/>
          <w:szCs w:val="24"/>
          <w:lang w:val="pt-BR"/>
        </w:rPr>
        <w:t>:</w:t>
      </w:r>
    </w:p>
    <w:p w:rsidR="00F94990" w:rsidRP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Diante do exposto, sem adentrarmos na conveniência 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oportunidade da contratação que ora se impõe, concluímos pela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 xml:space="preserve">possibilidade desta por meio da licitação dispensável </w:t>
      </w:r>
      <w:proofErr w:type="gramStart"/>
      <w:r w:rsidRPr="00F94990">
        <w:rPr>
          <w:rFonts w:ascii="Bookman Old Style" w:eastAsia="Calibri" w:hAnsi="Bookman Old Style"/>
          <w:sz w:val="24"/>
          <w:szCs w:val="24"/>
          <w:lang w:val="pt-BR"/>
        </w:rPr>
        <w:t>nos termo</w:t>
      </w:r>
      <w:proofErr w:type="gramEnd"/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do art. 24, inciso IV, da lei 8.666/93, vez que presente o requisito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F94990">
        <w:rPr>
          <w:rFonts w:ascii="Bookman Old Style" w:eastAsia="Calibri" w:hAnsi="Bookman Old Style"/>
          <w:sz w:val="24"/>
          <w:szCs w:val="24"/>
          <w:lang w:val="pt-BR"/>
        </w:rPr>
        <w:t>da urgência a embasar a contratação direta de Clínica Especializada Para Realização do Exame requisitado.</w:t>
      </w:r>
    </w:p>
    <w:p w:rsidR="00F94990" w:rsidRDefault="00F94990" w:rsidP="00F9499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F94990">
        <w:rPr>
          <w:rFonts w:ascii="Bookman Old Style" w:eastAsia="Calibri" w:hAnsi="Bookman Old Style"/>
          <w:sz w:val="24"/>
          <w:szCs w:val="24"/>
          <w:lang w:val="pt-BR"/>
        </w:rPr>
        <w:t>É o parecer, à superior consideração.</w:t>
      </w:r>
    </w:p>
    <w:p w:rsidR="00F94990" w:rsidRDefault="00F94990" w:rsidP="009B0026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Pr="006901D0" w:rsidRDefault="00251BE5" w:rsidP="006901D0">
      <w:pPr>
        <w:widowControl/>
        <w:autoSpaceDE/>
        <w:autoSpaceDN/>
        <w:spacing w:before="240" w:line="360" w:lineRule="auto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Cordilheira Alta/ SC, </w:t>
      </w:r>
      <w:r w:rsidR="00EF6D85">
        <w:rPr>
          <w:rFonts w:ascii="Bookman Old Style" w:eastAsia="Calibri" w:hAnsi="Bookman Old Style"/>
          <w:sz w:val="24"/>
          <w:szCs w:val="24"/>
          <w:lang w:val="pt-BR"/>
        </w:rPr>
        <w:t>16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</w:t>
      </w:r>
      <w:proofErr w:type="gramStart"/>
      <w:r w:rsidR="00EF6D85">
        <w:rPr>
          <w:rFonts w:ascii="Bookman Old Style" w:eastAsia="Calibri" w:hAnsi="Bookman Old Style"/>
          <w:sz w:val="24"/>
          <w:szCs w:val="24"/>
          <w:lang w:val="pt-BR"/>
        </w:rPr>
        <w:t>Setembro</w:t>
      </w:r>
      <w:proofErr w:type="gramEnd"/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2021.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B61AD" w:rsidRPr="00461BFA" w:rsidRDefault="00BB61AD" w:rsidP="00BB61AD">
      <w:pPr>
        <w:spacing w:before="240" w:line="360" w:lineRule="auto"/>
        <w:ind w:firstLine="184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BB61AD" w:rsidRPr="00BB61AD" w:rsidRDefault="00BB61AD" w:rsidP="00BB61AD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proofErr w:type="spellStart"/>
      <w:r w:rsidRPr="00BB61AD">
        <w:rPr>
          <w:rFonts w:ascii="Bookman Old Style" w:hAnsi="Bookman Old Style"/>
          <w:b/>
          <w:sz w:val="24"/>
          <w:szCs w:val="24"/>
          <w:lang w:val="pt-BR"/>
        </w:rPr>
        <w:t>Clériston</w:t>
      </w:r>
      <w:proofErr w:type="spellEnd"/>
      <w:r w:rsidRPr="00BB61AD">
        <w:rPr>
          <w:rFonts w:ascii="Bookman Old Style" w:hAnsi="Bookman Old Style"/>
          <w:b/>
          <w:sz w:val="24"/>
          <w:szCs w:val="24"/>
          <w:lang w:val="pt-BR"/>
        </w:rPr>
        <w:t xml:space="preserve"> </w:t>
      </w:r>
      <w:proofErr w:type="spellStart"/>
      <w:r w:rsidRPr="00BB61AD">
        <w:rPr>
          <w:rFonts w:ascii="Bookman Old Style" w:hAnsi="Bookman Old Style"/>
          <w:b/>
          <w:sz w:val="24"/>
          <w:szCs w:val="24"/>
          <w:lang w:val="pt-BR"/>
        </w:rPr>
        <w:t>Valentini</w:t>
      </w:r>
      <w:proofErr w:type="spellEnd"/>
      <w:r w:rsidRPr="00BB61AD">
        <w:rPr>
          <w:rFonts w:ascii="Bookman Old Style" w:hAnsi="Bookman Old Style"/>
          <w:b/>
          <w:sz w:val="24"/>
          <w:szCs w:val="24"/>
          <w:lang w:val="pt-BR"/>
        </w:rPr>
        <w:t xml:space="preserve"> – OAB/SC 27.754</w:t>
      </w:r>
    </w:p>
    <w:p w:rsidR="00BB61AD" w:rsidRPr="00BB61AD" w:rsidRDefault="00BB61AD" w:rsidP="00BB61AD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r w:rsidRPr="00BB61AD">
        <w:rPr>
          <w:rFonts w:ascii="Bookman Old Style" w:hAnsi="Bookman Old Style"/>
          <w:b/>
          <w:sz w:val="24"/>
          <w:szCs w:val="24"/>
          <w:lang w:val="pt-BR"/>
        </w:rPr>
        <w:t>Assessor Jurídico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sectPr w:rsidR="00B16CD8" w:rsidRPr="00BC464A" w:rsidSect="00BB61AD">
      <w:headerReference w:type="default" r:id="rId8"/>
      <w:footerReference w:type="default" r:id="rId9"/>
      <w:pgSz w:w="11910" w:h="16840"/>
      <w:pgMar w:top="568" w:right="1704" w:bottom="1460" w:left="168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ABD" w:rsidRDefault="003E1ABD">
      <w:r>
        <w:separator/>
      </w:r>
    </w:p>
  </w:endnote>
  <w:endnote w:type="continuationSeparator" w:id="0">
    <w:p w:rsidR="003E1ABD" w:rsidRDefault="003E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683001"/>
      <w:docPartObj>
        <w:docPartGallery w:val="Page Numbers (Bottom of Page)"/>
        <w:docPartUnique/>
      </w:docPartObj>
    </w:sdtPr>
    <w:sdtEndPr/>
    <w:sdtContent>
      <w:p w:rsidR="003D5171" w:rsidRDefault="003D517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48F" w:rsidRPr="00E9148F">
          <w:rPr>
            <w:noProof/>
            <w:lang w:val="pt-BR"/>
          </w:rPr>
          <w:t>1</w:t>
        </w:r>
        <w:r>
          <w:fldChar w:fldCharType="end"/>
        </w:r>
      </w:p>
    </w:sdtContent>
  </w:sdt>
  <w:p w:rsidR="003D5171" w:rsidRDefault="003D51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ABD" w:rsidRDefault="003E1ABD">
      <w:r>
        <w:separator/>
      </w:r>
    </w:p>
  </w:footnote>
  <w:footnote w:type="continuationSeparator" w:id="0">
    <w:p w:rsidR="003E1ABD" w:rsidRDefault="003E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AD" w:rsidRDefault="00BB61AD" w:rsidP="00657150">
    <w:pPr>
      <w:pStyle w:val="Cabealho"/>
      <w:jc w:val="center"/>
    </w:pPr>
  </w:p>
  <w:p w:rsidR="00BB61AD" w:rsidRDefault="00BB61AD" w:rsidP="00657150">
    <w:pPr>
      <w:pStyle w:val="Cabealho"/>
      <w:jc w:val="center"/>
    </w:pPr>
  </w:p>
  <w:p w:rsidR="00657150" w:rsidRDefault="00657150" w:rsidP="00657150">
    <w:pPr>
      <w:pStyle w:val="Cabealho"/>
      <w:jc w:val="center"/>
    </w:pPr>
    <w:r w:rsidRPr="005030BE">
      <w:rPr>
        <w:noProof/>
        <w:lang w:val="pt-BR" w:eastAsia="pt-BR"/>
      </w:rPr>
      <w:drawing>
        <wp:inline distT="0" distB="0" distL="0" distR="0" wp14:anchorId="1C5E6393" wp14:editId="6C1EBD0A">
          <wp:extent cx="3216712" cy="555981"/>
          <wp:effectExtent l="0" t="0" r="3175" b="0"/>
          <wp:docPr id="43" name="Imagem 43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2768" cy="557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61AD" w:rsidRDefault="00BB61AD" w:rsidP="0065715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67E6"/>
    <w:multiLevelType w:val="hybridMultilevel"/>
    <w:tmpl w:val="3C061212"/>
    <w:lvl w:ilvl="0" w:tplc="BACC9E8A">
      <w:start w:val="1"/>
      <w:numFmt w:val="upperRoman"/>
      <w:lvlText w:val="%1"/>
      <w:lvlJc w:val="left"/>
      <w:pPr>
        <w:ind w:left="334" w:hanging="155"/>
        <w:jc w:val="right"/>
      </w:pPr>
      <w:rPr>
        <w:rFonts w:hint="default"/>
        <w:w w:val="104"/>
      </w:rPr>
    </w:lvl>
    <w:lvl w:ilvl="1" w:tplc="7CB6CEF8">
      <w:start w:val="1"/>
      <w:numFmt w:val="lowerLetter"/>
      <w:lvlText w:val="%2)"/>
      <w:lvlJc w:val="left"/>
      <w:pPr>
        <w:ind w:left="1128" w:hanging="279"/>
      </w:pPr>
      <w:rPr>
        <w:rFonts w:hint="default"/>
        <w:spacing w:val="-1"/>
        <w:w w:val="105"/>
      </w:rPr>
    </w:lvl>
    <w:lvl w:ilvl="2" w:tplc="822EA496">
      <w:numFmt w:val="bullet"/>
      <w:lvlText w:val="•"/>
      <w:lvlJc w:val="left"/>
      <w:pPr>
        <w:ind w:left="2093" w:hanging="279"/>
      </w:pPr>
      <w:rPr>
        <w:rFonts w:hint="default"/>
      </w:rPr>
    </w:lvl>
    <w:lvl w:ilvl="3" w:tplc="9DCC1B78">
      <w:numFmt w:val="bullet"/>
      <w:lvlText w:val="•"/>
      <w:lvlJc w:val="left"/>
      <w:pPr>
        <w:ind w:left="3067" w:hanging="279"/>
      </w:pPr>
      <w:rPr>
        <w:rFonts w:hint="default"/>
      </w:rPr>
    </w:lvl>
    <w:lvl w:ilvl="4" w:tplc="32C66450">
      <w:numFmt w:val="bullet"/>
      <w:lvlText w:val="•"/>
      <w:lvlJc w:val="left"/>
      <w:pPr>
        <w:ind w:left="4041" w:hanging="279"/>
      </w:pPr>
      <w:rPr>
        <w:rFonts w:hint="default"/>
      </w:rPr>
    </w:lvl>
    <w:lvl w:ilvl="5" w:tplc="CA0CCCE0">
      <w:numFmt w:val="bullet"/>
      <w:lvlText w:val="•"/>
      <w:lvlJc w:val="left"/>
      <w:pPr>
        <w:ind w:left="5015" w:hanging="279"/>
      </w:pPr>
      <w:rPr>
        <w:rFonts w:hint="default"/>
      </w:rPr>
    </w:lvl>
    <w:lvl w:ilvl="6" w:tplc="6186B5CE">
      <w:numFmt w:val="bullet"/>
      <w:lvlText w:val="•"/>
      <w:lvlJc w:val="left"/>
      <w:pPr>
        <w:ind w:left="5988" w:hanging="279"/>
      </w:pPr>
      <w:rPr>
        <w:rFonts w:hint="default"/>
      </w:rPr>
    </w:lvl>
    <w:lvl w:ilvl="7" w:tplc="0F048E88">
      <w:numFmt w:val="bullet"/>
      <w:lvlText w:val="•"/>
      <w:lvlJc w:val="left"/>
      <w:pPr>
        <w:ind w:left="6962" w:hanging="279"/>
      </w:pPr>
      <w:rPr>
        <w:rFonts w:hint="default"/>
      </w:rPr>
    </w:lvl>
    <w:lvl w:ilvl="8" w:tplc="73144892">
      <w:numFmt w:val="bullet"/>
      <w:lvlText w:val="•"/>
      <w:lvlJc w:val="left"/>
      <w:pPr>
        <w:ind w:left="7936" w:hanging="27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D8"/>
    <w:rsid w:val="000E06B0"/>
    <w:rsid w:val="00115EB2"/>
    <w:rsid w:val="001342C3"/>
    <w:rsid w:val="00167267"/>
    <w:rsid w:val="001A0939"/>
    <w:rsid w:val="00250A29"/>
    <w:rsid w:val="00251BE5"/>
    <w:rsid w:val="00335ADB"/>
    <w:rsid w:val="003D5171"/>
    <w:rsid w:val="003E1ABD"/>
    <w:rsid w:val="00461BFA"/>
    <w:rsid w:val="005837A8"/>
    <w:rsid w:val="0063779E"/>
    <w:rsid w:val="00657150"/>
    <w:rsid w:val="006901D0"/>
    <w:rsid w:val="009B0026"/>
    <w:rsid w:val="00A53360"/>
    <w:rsid w:val="00AA7339"/>
    <w:rsid w:val="00B16CD8"/>
    <w:rsid w:val="00BB61AD"/>
    <w:rsid w:val="00BC464A"/>
    <w:rsid w:val="00D21110"/>
    <w:rsid w:val="00DA57C4"/>
    <w:rsid w:val="00E529E5"/>
    <w:rsid w:val="00E9148F"/>
    <w:rsid w:val="00EF6D85"/>
    <w:rsid w:val="00F44B7F"/>
    <w:rsid w:val="00F9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11427"/>
  <w15:docId w15:val="{71F9F51D-DCF6-4727-B9F3-4307D398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479" w:hanging="343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114" w:hanging="343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5715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57150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57150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6571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7150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6571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7150"/>
    <w:rPr>
      <w:rFonts w:ascii="Times New Roman" w:eastAsia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1B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1BFA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15EB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9B71-3B93-4753-ACD9-6D0D12FF5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1675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Estoque</dc:creator>
  <cp:lastModifiedBy>Usuário do Windows</cp:lastModifiedBy>
  <cp:revision>6</cp:revision>
  <cp:lastPrinted>2021-07-29T14:12:00Z</cp:lastPrinted>
  <dcterms:created xsi:type="dcterms:W3CDTF">2021-09-16T12:52:00Z</dcterms:created>
  <dcterms:modified xsi:type="dcterms:W3CDTF">2021-09-21T13:46:00Z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2021-05-12T00:00:00Z</vt:filetime>
  </property>
  <property fmtid="{D5CDD505-2E9C-101B-9397-08002B2CF9AE}" pid="3" name="LastSaved">
    <vt:filetime>2021-05-12T00:00:00Z</vt:filetime>
  </property>
</Properties>
</file>