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EF3947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EF3947">
        <w:rPr>
          <w:b/>
          <w:sz w:val="21"/>
          <w:szCs w:val="21"/>
        </w:rPr>
        <w:t xml:space="preserve">ADMINISTRATIVO N° </w:t>
      </w:r>
      <w:r w:rsidR="008D1443">
        <w:rPr>
          <w:b/>
          <w:sz w:val="21"/>
          <w:szCs w:val="21"/>
        </w:rPr>
        <w:t>139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EF3947">
        <w:rPr>
          <w:b/>
          <w:sz w:val="21"/>
          <w:szCs w:val="21"/>
        </w:rPr>
        <w:t xml:space="preserve"> DISPENSA DE LICITAÇÃO N° </w:t>
      </w:r>
      <w:r w:rsidR="009027F4">
        <w:rPr>
          <w:b/>
          <w:sz w:val="21"/>
          <w:szCs w:val="21"/>
        </w:rPr>
        <w:t>6</w:t>
      </w:r>
      <w:r w:rsidR="008D1443">
        <w:rPr>
          <w:b/>
          <w:sz w:val="21"/>
          <w:szCs w:val="21"/>
        </w:rPr>
        <w:t>9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5B3E53" w:rsidRDefault="00900D42">
      <w:pPr>
        <w:ind w:left="-5" w:right="8"/>
        <w:rPr>
          <w:b/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05390A" w:rsidRPr="005B3E53">
        <w:rPr>
          <w:b/>
          <w:sz w:val="21"/>
          <w:szCs w:val="21"/>
        </w:rPr>
        <w:t xml:space="preserve">AQUISIÇÃO DE </w:t>
      </w:r>
      <w:r w:rsidR="008D1443">
        <w:rPr>
          <w:b/>
          <w:sz w:val="21"/>
          <w:szCs w:val="21"/>
        </w:rPr>
        <w:t>DIVISÓRIAS PARA ALA COVID</w:t>
      </w:r>
      <w:r w:rsidR="002E5BA7" w:rsidRPr="005B3E53">
        <w:rPr>
          <w:b/>
          <w:sz w:val="21"/>
          <w:szCs w:val="21"/>
        </w:rPr>
        <w:t>,</w:t>
      </w:r>
      <w:r w:rsidR="00F4403F" w:rsidRPr="005B3E53">
        <w:rPr>
          <w:b/>
          <w:sz w:val="21"/>
          <w:szCs w:val="21"/>
        </w:rPr>
        <w:t xml:space="preserve"> VISANDO ATENDER AS NECESSIDADES </w:t>
      </w:r>
      <w:r w:rsidR="009027F4">
        <w:rPr>
          <w:b/>
          <w:sz w:val="21"/>
          <w:szCs w:val="21"/>
        </w:rPr>
        <w:t xml:space="preserve">DO FUNDO MUNICIPAL DE SAÚDE </w:t>
      </w:r>
      <w:r w:rsidR="00F4403F" w:rsidRPr="005B3E53">
        <w:rPr>
          <w:b/>
          <w:sz w:val="21"/>
          <w:szCs w:val="21"/>
        </w:rPr>
        <w:t xml:space="preserve">DO MUNICÍPIO DE CORDILHEIRA ALTA/SC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 – DA DISPENSA DE LICITAÇÃO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“Art. 24 É dispensável a licitação: </w:t>
      </w:r>
    </w:p>
    <w:p w:rsidR="001A4E20" w:rsidRPr="00E94AA2" w:rsidRDefault="00900D42">
      <w:pPr>
        <w:spacing w:line="259" w:lineRule="auto"/>
        <w:ind w:left="1559" w:right="2500"/>
        <w:jc w:val="center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...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II - para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proofErr w:type="gramStart"/>
      <w:r w:rsidRPr="00E94AA2">
        <w:rPr>
          <w:i/>
          <w:sz w:val="20"/>
          <w:szCs w:val="20"/>
        </w:rPr>
        <w:t>vez.”</w:t>
      </w:r>
      <w:proofErr w:type="gramEnd"/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E6BC7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III – DA JUSTIFICATIVA DA DISPENSA </w:t>
      </w:r>
    </w:p>
    <w:p w:rsidR="001A4E20" w:rsidRPr="008E68CC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Diz o art. 26 da Lei 8.666/93, em seu parágrafo único: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“Parágrafo único – O processo de dispensa, de inexigibilidade ou de retardamento, previsto neste artigo, será instruído, no que couber, com os seguintes elementos: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caracterização da situação emergencial ou calamitosa que justifique a dispensa, quando for o caso;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razão da escolha do fornecedor ou executante; </w:t>
      </w:r>
    </w:p>
    <w:p w:rsidR="001A4E20" w:rsidRPr="00E94AA2" w:rsidRDefault="00900D42">
      <w:pPr>
        <w:numPr>
          <w:ilvl w:val="0"/>
          <w:numId w:val="1"/>
        </w:numPr>
        <w:spacing w:line="259" w:lineRule="auto"/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justificativa do preço; </w:t>
      </w:r>
    </w:p>
    <w:p w:rsidR="001A4E20" w:rsidRPr="00207F6B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proofErr w:type="gramStart"/>
      <w:r w:rsidRPr="00E94AA2">
        <w:rPr>
          <w:i/>
          <w:sz w:val="20"/>
          <w:szCs w:val="20"/>
        </w:rPr>
        <w:t>documentos</w:t>
      </w:r>
      <w:proofErr w:type="gramEnd"/>
      <w:r w:rsidRPr="00E94AA2">
        <w:rPr>
          <w:i/>
          <w:sz w:val="20"/>
          <w:szCs w:val="20"/>
        </w:rPr>
        <w:t xml:space="preserve"> de aprovação dos projetos de pesquisa aos quais os bens serão </w:t>
      </w:r>
      <w:r w:rsidR="001E6BC7" w:rsidRPr="00E94AA2">
        <w:rPr>
          <w:i/>
          <w:sz w:val="20"/>
          <w:szCs w:val="20"/>
        </w:rPr>
        <w:t>alocados. ”</w:t>
      </w:r>
      <w:r w:rsidRPr="00E94AA2">
        <w:rPr>
          <w:i/>
          <w:sz w:val="20"/>
          <w:szCs w:val="20"/>
        </w:rPr>
        <w:t xml:space="preserve"> </w:t>
      </w:r>
    </w:p>
    <w:p w:rsidR="00207F6B" w:rsidRDefault="00207F6B" w:rsidP="00207F6B">
      <w:pPr>
        <w:ind w:right="4"/>
        <w:rPr>
          <w:i/>
          <w:sz w:val="20"/>
          <w:szCs w:val="20"/>
        </w:rPr>
      </w:pPr>
    </w:p>
    <w:p w:rsidR="00207F6B" w:rsidRPr="0018050B" w:rsidRDefault="00207F6B" w:rsidP="00207F6B">
      <w:pPr>
        <w:autoSpaceDE w:val="0"/>
        <w:autoSpaceDN w:val="0"/>
        <w:adjustRightInd w:val="0"/>
        <w:spacing w:line="240" w:lineRule="auto"/>
        <w:ind w:right="0" w:firstLine="708"/>
        <w:rPr>
          <w:rFonts w:eastAsiaTheme="minorEastAsia" w:cs="BookmanOldStyle"/>
          <w:color w:val="auto"/>
          <w:szCs w:val="24"/>
        </w:rPr>
      </w:pPr>
      <w:r w:rsidRPr="0018050B">
        <w:rPr>
          <w:rFonts w:eastAsiaTheme="minorEastAsia" w:cs="BookmanOldStyle"/>
          <w:color w:val="auto"/>
          <w:szCs w:val="24"/>
        </w:rPr>
        <w:t>A Organização Mundial de Saúde (OMS) declarou, em 11 de</w:t>
      </w:r>
      <w:r>
        <w:rPr>
          <w:rFonts w:eastAsiaTheme="minorEastAsia" w:cs="BookmanOldStyle"/>
          <w:color w:val="auto"/>
          <w:szCs w:val="24"/>
        </w:rPr>
        <w:t xml:space="preserve"> </w:t>
      </w:r>
      <w:r w:rsidRPr="0018050B">
        <w:rPr>
          <w:rFonts w:eastAsiaTheme="minorEastAsia" w:cs="BookmanOldStyle"/>
          <w:color w:val="auto"/>
          <w:szCs w:val="24"/>
        </w:rPr>
        <w:t>março de 2020, a disseminação comu</w:t>
      </w:r>
      <w:r>
        <w:rPr>
          <w:rFonts w:eastAsiaTheme="minorEastAsia" w:cs="BookmanOldStyle"/>
          <w:color w:val="auto"/>
          <w:szCs w:val="24"/>
        </w:rPr>
        <w:t xml:space="preserve">nitária do COVID-19 em todos os </w:t>
      </w:r>
      <w:r w:rsidRPr="0018050B">
        <w:rPr>
          <w:rFonts w:eastAsiaTheme="minorEastAsia" w:cs="BookmanOldStyle"/>
          <w:color w:val="auto"/>
          <w:szCs w:val="24"/>
        </w:rPr>
        <w:t xml:space="preserve">Continentes configurando </w:t>
      </w:r>
      <w:r>
        <w:rPr>
          <w:rFonts w:eastAsiaTheme="minorEastAsia" w:cs="BookmanOldStyle"/>
          <w:color w:val="auto"/>
          <w:szCs w:val="24"/>
        </w:rPr>
        <w:t xml:space="preserve">pandemia. A ampla velocidade do </w:t>
      </w:r>
      <w:r w:rsidRPr="0018050B">
        <w:rPr>
          <w:rFonts w:eastAsiaTheme="minorEastAsia" w:cs="BookmanOldStyle"/>
          <w:color w:val="auto"/>
          <w:szCs w:val="24"/>
        </w:rPr>
        <w:t xml:space="preserve">supracitado vírus em gerar pacientes </w:t>
      </w:r>
      <w:r>
        <w:rPr>
          <w:rFonts w:eastAsiaTheme="minorEastAsia" w:cs="BookmanOldStyle"/>
          <w:color w:val="auto"/>
          <w:szCs w:val="24"/>
        </w:rPr>
        <w:t xml:space="preserve">graves, acarreta os sistemas de </w:t>
      </w:r>
      <w:r w:rsidRPr="0018050B">
        <w:rPr>
          <w:rFonts w:eastAsiaTheme="minorEastAsia" w:cs="BookmanOldStyle"/>
          <w:color w:val="auto"/>
          <w:szCs w:val="24"/>
        </w:rPr>
        <w:t>saúde a receber uma demanda m</w:t>
      </w:r>
      <w:r>
        <w:rPr>
          <w:rFonts w:eastAsiaTheme="minorEastAsia" w:cs="BookmanOldStyle"/>
          <w:color w:val="auto"/>
          <w:szCs w:val="24"/>
        </w:rPr>
        <w:t xml:space="preserve">uito acima de sua capacidade de </w:t>
      </w:r>
      <w:r w:rsidRPr="0018050B">
        <w:rPr>
          <w:rFonts w:eastAsiaTheme="minorEastAsia" w:cs="BookmanOldStyle"/>
          <w:color w:val="auto"/>
          <w:szCs w:val="24"/>
        </w:rPr>
        <w:t>atendimento adequado.</w:t>
      </w:r>
    </w:p>
    <w:p w:rsidR="00207F6B" w:rsidRDefault="00207F6B" w:rsidP="00207F6B">
      <w:pPr>
        <w:autoSpaceDE w:val="0"/>
        <w:autoSpaceDN w:val="0"/>
        <w:adjustRightInd w:val="0"/>
        <w:spacing w:line="240" w:lineRule="auto"/>
        <w:ind w:right="0" w:firstLine="0"/>
        <w:rPr>
          <w:rFonts w:eastAsiaTheme="minorEastAsia" w:cs="BookmanOldStyle"/>
          <w:color w:val="auto"/>
          <w:szCs w:val="24"/>
        </w:rPr>
      </w:pPr>
    </w:p>
    <w:p w:rsidR="00207F6B" w:rsidRPr="0018050B" w:rsidRDefault="00207F6B" w:rsidP="00207F6B">
      <w:pPr>
        <w:autoSpaceDE w:val="0"/>
        <w:autoSpaceDN w:val="0"/>
        <w:adjustRightInd w:val="0"/>
        <w:spacing w:line="240" w:lineRule="auto"/>
        <w:ind w:right="0" w:firstLine="708"/>
        <w:rPr>
          <w:rFonts w:eastAsiaTheme="minorEastAsia" w:cs="BookmanOldStyle"/>
          <w:color w:val="auto"/>
          <w:szCs w:val="24"/>
        </w:rPr>
      </w:pPr>
      <w:r w:rsidRPr="0018050B">
        <w:rPr>
          <w:rFonts w:eastAsiaTheme="minorEastAsia" w:cs="BookmanOldStyle"/>
          <w:color w:val="auto"/>
          <w:szCs w:val="24"/>
        </w:rPr>
        <w:t xml:space="preserve">A transmissão do </w:t>
      </w:r>
      <w:proofErr w:type="spellStart"/>
      <w:r w:rsidRPr="0018050B">
        <w:rPr>
          <w:rFonts w:eastAsiaTheme="minorEastAsia" w:cs="BookmanOldStyle"/>
          <w:color w:val="auto"/>
          <w:szCs w:val="24"/>
        </w:rPr>
        <w:t>coronavír</w:t>
      </w:r>
      <w:r>
        <w:rPr>
          <w:rFonts w:eastAsiaTheme="minorEastAsia" w:cs="BookmanOldStyle"/>
          <w:color w:val="auto"/>
          <w:szCs w:val="24"/>
        </w:rPr>
        <w:t>us</w:t>
      </w:r>
      <w:proofErr w:type="spellEnd"/>
      <w:r>
        <w:rPr>
          <w:rFonts w:eastAsiaTheme="minorEastAsia" w:cs="BookmanOldStyle"/>
          <w:color w:val="auto"/>
          <w:szCs w:val="24"/>
        </w:rPr>
        <w:t xml:space="preserve"> no Brasil é considerada </w:t>
      </w:r>
      <w:r w:rsidRPr="0018050B">
        <w:rPr>
          <w:rFonts w:eastAsiaTheme="minorEastAsia" w:cs="BookmanOldStyle"/>
          <w:color w:val="auto"/>
          <w:szCs w:val="24"/>
        </w:rPr>
        <w:t>comunitária, conforme Portaria do M</w:t>
      </w:r>
      <w:r>
        <w:rPr>
          <w:rFonts w:eastAsiaTheme="minorEastAsia" w:cs="BookmanOldStyle"/>
          <w:color w:val="auto"/>
          <w:szCs w:val="24"/>
        </w:rPr>
        <w:t xml:space="preserve">inistério da Saúde n. 454/2020, </w:t>
      </w:r>
      <w:r w:rsidRPr="0018050B">
        <w:rPr>
          <w:rFonts w:eastAsiaTheme="minorEastAsia" w:cs="BookmanOldStyle"/>
          <w:color w:val="auto"/>
          <w:szCs w:val="24"/>
        </w:rPr>
        <w:t>com possibilidade de aumento e agravamento de casos. O</w:t>
      </w:r>
      <w:r>
        <w:rPr>
          <w:rFonts w:eastAsiaTheme="minorEastAsia" w:cs="BookmanOldStyle"/>
          <w:color w:val="auto"/>
          <w:szCs w:val="24"/>
        </w:rPr>
        <w:t xml:space="preserve"> </w:t>
      </w:r>
      <w:r w:rsidRPr="0018050B">
        <w:rPr>
          <w:rFonts w:eastAsiaTheme="minorEastAsia" w:cs="BookmanOldStyle"/>
          <w:color w:val="auto"/>
          <w:szCs w:val="24"/>
        </w:rPr>
        <w:t>enfrentamento de uma epidemia requ</w:t>
      </w:r>
      <w:r>
        <w:rPr>
          <w:rFonts w:eastAsiaTheme="minorEastAsia" w:cs="BookmanOldStyle"/>
          <w:color w:val="auto"/>
          <w:szCs w:val="24"/>
        </w:rPr>
        <w:t xml:space="preserve">er a aquisição de </w:t>
      </w:r>
      <w:r>
        <w:rPr>
          <w:rFonts w:eastAsiaTheme="minorEastAsia" w:cs="BookmanOldStyle"/>
          <w:color w:val="auto"/>
          <w:szCs w:val="24"/>
        </w:rPr>
        <w:lastRenderedPageBreak/>
        <w:t xml:space="preserve">materiais e </w:t>
      </w:r>
      <w:r w:rsidRPr="0018050B">
        <w:rPr>
          <w:rFonts w:eastAsiaTheme="minorEastAsia" w:cs="BookmanOldStyle"/>
          <w:color w:val="auto"/>
          <w:szCs w:val="24"/>
        </w:rPr>
        <w:t>insumos de prevenção de contágio, t</w:t>
      </w:r>
      <w:r>
        <w:rPr>
          <w:rFonts w:eastAsiaTheme="minorEastAsia" w:cs="BookmanOldStyle"/>
          <w:color w:val="auto"/>
          <w:szCs w:val="24"/>
        </w:rPr>
        <w:t xml:space="preserve">ransmissão e manejo clínico dos </w:t>
      </w:r>
      <w:r w:rsidRPr="0018050B">
        <w:rPr>
          <w:rFonts w:eastAsiaTheme="minorEastAsia" w:cs="BookmanOldStyle"/>
          <w:color w:val="auto"/>
          <w:szCs w:val="24"/>
        </w:rPr>
        <w:t>casos diagnosticados.</w:t>
      </w:r>
    </w:p>
    <w:p w:rsidR="00207F6B" w:rsidRPr="0018050B" w:rsidRDefault="00207F6B" w:rsidP="00207F6B">
      <w:pPr>
        <w:ind w:left="-15" w:right="3"/>
        <w:rPr>
          <w:rFonts w:eastAsiaTheme="minorEastAsia" w:cs="BookmanOldStyle"/>
          <w:color w:val="auto"/>
          <w:szCs w:val="24"/>
        </w:rPr>
      </w:pPr>
    </w:p>
    <w:p w:rsidR="00207F6B" w:rsidRDefault="00207F6B" w:rsidP="00207F6B">
      <w:pPr>
        <w:ind w:left="-15" w:right="3"/>
      </w:pPr>
      <w:r w:rsidRPr="0018050B">
        <w:t>No presente caso, a população do Município de Cordilheira Alta não pode prescindir d</w:t>
      </w:r>
      <w:r>
        <w:t>e condições mínimas para atendimento, em obediência ao princípio da continuidade do serviço público e</w:t>
      </w:r>
      <w:r w:rsidRPr="0018050B">
        <w:t>, sob pena de restringir direitos fundamentais dos munícipes</w:t>
      </w:r>
      <w:r>
        <w:t xml:space="preserve">, o que implicaria em grave afronta ao interesse público.  </w:t>
      </w:r>
    </w:p>
    <w:p w:rsidR="00207F6B" w:rsidRDefault="00207F6B" w:rsidP="00207F6B">
      <w:pPr>
        <w:ind w:right="4"/>
        <w:rPr>
          <w:i/>
          <w:sz w:val="20"/>
          <w:szCs w:val="20"/>
        </w:rPr>
      </w:pPr>
    </w:p>
    <w:p w:rsidR="00207F6B" w:rsidRPr="00E94AA2" w:rsidRDefault="00207F6B" w:rsidP="00207F6B">
      <w:pPr>
        <w:ind w:right="4"/>
        <w:rPr>
          <w:sz w:val="20"/>
          <w:szCs w:val="20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empresa escolhida neste processo para sacramentar a contratação do objeto pretendido, foi:  </w:t>
      </w:r>
    </w:p>
    <w:p w:rsidR="001A4E20" w:rsidRPr="008E68CC" w:rsidRDefault="00900D42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207F6B">
        <w:rPr>
          <w:b/>
          <w:sz w:val="21"/>
          <w:szCs w:val="21"/>
        </w:rPr>
        <w:t>LÍDER COMERCIO VAREJISTA DE PAPELARIA, SHOWS E EVENTOS LTDA</w:t>
      </w:r>
      <w:r w:rsidR="009027F4">
        <w:rPr>
          <w:b/>
          <w:sz w:val="21"/>
          <w:szCs w:val="21"/>
        </w:rPr>
        <w:t>,</w:t>
      </w:r>
      <w:r w:rsidRPr="008E68CC">
        <w:rPr>
          <w:b/>
          <w:sz w:val="21"/>
          <w:szCs w:val="21"/>
        </w:rPr>
        <w:t xml:space="preserve"> </w:t>
      </w:r>
      <w:r w:rsidR="009027F4" w:rsidRPr="009027F4">
        <w:rPr>
          <w:sz w:val="21"/>
          <w:szCs w:val="21"/>
        </w:rPr>
        <w:t>inscrita no</w:t>
      </w:r>
      <w:r w:rsidR="009027F4">
        <w:rPr>
          <w:sz w:val="21"/>
          <w:szCs w:val="21"/>
        </w:rPr>
        <w:t xml:space="preserve"> </w:t>
      </w:r>
      <w:r w:rsidRPr="009027F4">
        <w:rPr>
          <w:sz w:val="21"/>
          <w:szCs w:val="21"/>
        </w:rPr>
        <w:t>CNPJ</w:t>
      </w:r>
      <w:r w:rsidRPr="008E68CC">
        <w:rPr>
          <w:sz w:val="21"/>
          <w:szCs w:val="21"/>
        </w:rPr>
        <w:t xml:space="preserve">: </w:t>
      </w:r>
      <w:r w:rsidR="00207F6B">
        <w:rPr>
          <w:sz w:val="21"/>
          <w:szCs w:val="21"/>
        </w:rPr>
        <w:t>39.293.649/0001-83</w:t>
      </w:r>
      <w:r w:rsidRPr="008E68CC">
        <w:rPr>
          <w:sz w:val="21"/>
          <w:szCs w:val="21"/>
        </w:rPr>
        <w:t xml:space="preserve">, estabelecida na </w:t>
      </w:r>
      <w:r w:rsidR="00207F6B">
        <w:rPr>
          <w:sz w:val="21"/>
          <w:szCs w:val="21"/>
        </w:rPr>
        <w:t>Rua Rui Barbosa, n° 348, centro em Xaxim/SC</w:t>
      </w:r>
      <w:r w:rsidR="0095419D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1531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Em análise aos presentes autos, foram realizadas pesquisas de preços junto a três empresas, tendo a empresa escolhida apresentado o menor preço - compatível com os atualmente praticados. </w:t>
      </w:r>
    </w:p>
    <w:p w:rsidR="001A4E20" w:rsidRPr="008E68CC" w:rsidRDefault="00900D42" w:rsidP="00E07221">
      <w:pPr>
        <w:spacing w:after="163"/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Contratação da empresa supracitada é compatível e não apresenta diferença que venha a influenciar na escolha, ficando esta vinculada apenas à verificação do critério do menor preço.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verificamos a presença de três propostas, sendo escolhida a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Município pagará pelo Objeto contratado, o valor de </w:t>
      </w:r>
      <w:r w:rsidR="00AE3F8F">
        <w:rPr>
          <w:sz w:val="21"/>
          <w:szCs w:val="21"/>
        </w:rPr>
        <w:t xml:space="preserve">total de </w:t>
      </w:r>
      <w:r w:rsidR="00E07221" w:rsidRPr="008E68CC">
        <w:rPr>
          <w:sz w:val="21"/>
          <w:szCs w:val="21"/>
        </w:rPr>
        <w:t xml:space="preserve">R$ </w:t>
      </w:r>
      <w:r w:rsidR="0095419D">
        <w:rPr>
          <w:sz w:val="21"/>
          <w:szCs w:val="21"/>
        </w:rPr>
        <w:t>17.519,50 (Dezessete mil quinhentos e dezenove reais com cinquenta centavos</w:t>
      </w:r>
      <w:r w:rsidR="000E06B0">
        <w:rPr>
          <w:sz w:val="21"/>
          <w:szCs w:val="21"/>
        </w:rPr>
        <w:t>)</w:t>
      </w:r>
      <w:r w:rsidR="0095419D">
        <w:rPr>
          <w:sz w:val="21"/>
          <w:szCs w:val="21"/>
        </w:rPr>
        <w:t>.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As despesas decorrentes desta dispensa de licitação correrão a cargo da </w:t>
      </w:r>
      <w:r w:rsidR="007D59B1">
        <w:rPr>
          <w:sz w:val="21"/>
          <w:szCs w:val="21"/>
        </w:rPr>
        <w:t xml:space="preserve">dotação: (Projeto Atividade </w:t>
      </w:r>
      <w:r w:rsidR="009027F4">
        <w:rPr>
          <w:sz w:val="21"/>
          <w:szCs w:val="21"/>
        </w:rPr>
        <w:t>2.019</w:t>
      </w:r>
      <w:r w:rsidRPr="008E68CC">
        <w:rPr>
          <w:sz w:val="21"/>
          <w:szCs w:val="21"/>
        </w:rPr>
        <w:t xml:space="preserve">– </w:t>
      </w:r>
      <w:r w:rsidRPr="00352505">
        <w:rPr>
          <w:sz w:val="21"/>
          <w:szCs w:val="21"/>
        </w:rPr>
        <w:t>Elemento 3.3</w:t>
      </w:r>
      <w:r w:rsidRPr="009027F4">
        <w:rPr>
          <w:sz w:val="21"/>
          <w:szCs w:val="21"/>
        </w:rPr>
        <w:t>.90), prevista na</w:t>
      </w:r>
      <w:r w:rsidRPr="008E68CC">
        <w:rPr>
          <w:sz w:val="21"/>
          <w:szCs w:val="21"/>
        </w:rPr>
        <w:t xml:space="preserve"> Lei Orçamentária do Exercício de 202</w:t>
      </w:r>
      <w:r w:rsidR="00E07221" w:rsidRPr="008E68CC">
        <w:rPr>
          <w:sz w:val="21"/>
          <w:szCs w:val="21"/>
        </w:rPr>
        <w:t>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VIII – DA REGULARIDADE FISCAL E TRABALHISTA DO FORNECEDOR OU EXECUTANTE: </w:t>
      </w:r>
    </w:p>
    <w:p w:rsidR="00922680" w:rsidRPr="008E68CC" w:rsidRDefault="00922680">
      <w:pPr>
        <w:spacing w:after="10"/>
        <w:ind w:left="-5" w:right="0"/>
        <w:jc w:val="left"/>
        <w:rPr>
          <w:sz w:val="21"/>
          <w:szCs w:val="21"/>
        </w:rPr>
      </w:pPr>
      <w:bookmarkStart w:id="0" w:name="_GoBack"/>
      <w:bookmarkEnd w:id="0"/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95419D">
        <w:rPr>
          <w:sz w:val="21"/>
          <w:szCs w:val="21"/>
        </w:rPr>
        <w:t>22/08/2021</w:t>
      </w:r>
      <w:r w:rsidR="00E07221" w:rsidRPr="008E68CC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95419D">
        <w:rPr>
          <w:sz w:val="21"/>
          <w:szCs w:val="21"/>
        </w:rPr>
        <w:t>23</w:t>
      </w:r>
      <w:r w:rsidR="00A37F6A">
        <w:rPr>
          <w:sz w:val="21"/>
          <w:szCs w:val="21"/>
        </w:rPr>
        <w:t>/08</w:t>
      </w:r>
      <w:r w:rsidR="00446D67">
        <w:rPr>
          <w:sz w:val="21"/>
          <w:szCs w:val="21"/>
        </w:rPr>
        <w:t>/2021</w:t>
      </w:r>
      <w:r w:rsidR="00E07221" w:rsidRPr="008E68CC">
        <w:rPr>
          <w:sz w:val="21"/>
          <w:szCs w:val="21"/>
        </w:rPr>
        <w:t>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lastRenderedPageBreak/>
        <w:t xml:space="preserve">III - Prova de regularidade perante a Fazenda Municipal, comprovado com Certidão Negativa de Débito expedida pela Prefeitura Municipal, com validade para o dia </w:t>
      </w:r>
      <w:r w:rsidR="0095419D">
        <w:rPr>
          <w:sz w:val="21"/>
          <w:szCs w:val="21"/>
        </w:rPr>
        <w:t>27/09</w:t>
      </w:r>
      <w:r w:rsidR="00446D67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95419D">
        <w:rPr>
          <w:sz w:val="21"/>
          <w:szCs w:val="21"/>
        </w:rPr>
        <w:t>13</w:t>
      </w:r>
      <w:r w:rsidR="00446D67">
        <w:rPr>
          <w:sz w:val="21"/>
          <w:szCs w:val="21"/>
        </w:rPr>
        <w:t>/08/2021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01277F">
        <w:rPr>
          <w:sz w:val="21"/>
          <w:szCs w:val="21"/>
        </w:rPr>
        <w:t>24/01/2022</w:t>
      </w:r>
      <w:r w:rsidRPr="008E68CC">
        <w:rPr>
          <w:sz w:val="21"/>
          <w:szCs w:val="21"/>
        </w:rPr>
        <w:t xml:space="preserve"> </w:t>
      </w:r>
    </w:p>
    <w:p w:rsidR="00352505" w:rsidRPr="00274D10" w:rsidRDefault="00900D42" w:rsidP="00274D10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95419D">
        <w:rPr>
          <w:sz w:val="21"/>
          <w:szCs w:val="21"/>
        </w:rPr>
        <w:t>30</w:t>
      </w:r>
      <w:r w:rsidR="00A37F6A">
        <w:rPr>
          <w:sz w:val="21"/>
          <w:szCs w:val="21"/>
        </w:rPr>
        <w:t xml:space="preserve"> de julho</w:t>
      </w:r>
      <w:r w:rsidR="00900D42" w:rsidRPr="008E68CC">
        <w:rPr>
          <w:sz w:val="21"/>
          <w:szCs w:val="21"/>
        </w:rPr>
        <w:t xml:space="preserve"> de 202</w:t>
      </w:r>
      <w:r w:rsidRPr="008E68CC">
        <w:rPr>
          <w:sz w:val="21"/>
          <w:szCs w:val="21"/>
        </w:rPr>
        <w:t>1</w:t>
      </w:r>
      <w:r w:rsidR="00900D42" w:rsidRPr="008E68CC">
        <w:rPr>
          <w:sz w:val="21"/>
          <w:szCs w:val="21"/>
        </w:rPr>
        <w:t xml:space="preserve">. </w:t>
      </w:r>
    </w:p>
    <w:p w:rsidR="001A4E20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 </w:t>
      </w: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Pr="008E68CC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spacing w:line="259" w:lineRule="auto"/>
        <w:ind w:lef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color w:val="auto"/>
          <w:sz w:val="21"/>
          <w:szCs w:val="21"/>
          <w:lang w:eastAsia="en-US"/>
        </w:rPr>
      </w:pPr>
      <w:r w:rsidRPr="008E68CC"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8E68CC">
        <w:rPr>
          <w:rFonts w:eastAsia="Calibri" w:cs="BookmanOldStyle"/>
          <w:sz w:val="21"/>
          <w:szCs w:val="21"/>
          <w:lang w:eastAsia="en-US"/>
        </w:rPr>
        <w:t>Presidente da Comissão Permanente de Licitações</w:t>
      </w:r>
    </w:p>
    <w:p w:rsidR="00E07221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984531" w:rsidRPr="008E68CC" w:rsidRDefault="0098453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 w:rsidRPr="008E68CC">
        <w:rPr>
          <w:rFonts w:eastAsia="Calibri" w:cs="BookmanOldStyle-Bold"/>
          <w:b/>
          <w:bCs/>
          <w:sz w:val="21"/>
          <w:szCs w:val="21"/>
          <w:lang w:eastAsia="en-US"/>
        </w:rPr>
        <w:t>MARGA ANGELA MOCELLIN GIACOMIN</w:t>
      </w: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8E68CC">
        <w:rPr>
          <w:rFonts w:eastAsia="Calibri" w:cs="BookmanOldStyle"/>
          <w:sz w:val="21"/>
          <w:szCs w:val="21"/>
          <w:lang w:eastAsia="en-US"/>
        </w:rPr>
        <w:t>Membro da Comissão Permanente de Licitações</w:t>
      </w:r>
    </w:p>
    <w:p w:rsidR="004C2687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984531" w:rsidRPr="00CD7606" w:rsidRDefault="00984531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CD7606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984531" w:rsidRDefault="00984531" w:rsidP="004C2687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 w:rsidRPr="00984531">
        <w:rPr>
          <w:b/>
          <w:bCs/>
          <w:sz w:val="21"/>
          <w:szCs w:val="21"/>
        </w:rPr>
        <w:t xml:space="preserve">KELLY CRISTINA RANZAN </w:t>
      </w:r>
    </w:p>
    <w:p w:rsidR="00984531" w:rsidRPr="00984531" w:rsidRDefault="00984531" w:rsidP="004C2687">
      <w:pPr>
        <w:autoSpaceDE w:val="0"/>
        <w:autoSpaceDN w:val="0"/>
        <w:adjustRightInd w:val="0"/>
        <w:jc w:val="center"/>
      </w:pPr>
      <w:r w:rsidRPr="00984531">
        <w:rPr>
          <w:bCs/>
        </w:rPr>
        <w:t>Membro da Comissão Permanente de Licitações</w:t>
      </w:r>
    </w:p>
    <w:p w:rsidR="004C2687" w:rsidRPr="00CD7606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C2687" w:rsidRPr="00CD7606" w:rsidRDefault="004C2687" w:rsidP="004C2687"/>
    <w:p w:rsidR="00E07221" w:rsidRDefault="00E07221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900D42" w:rsidRDefault="00900D42">
      <w:pPr>
        <w:spacing w:line="259" w:lineRule="auto"/>
        <w:ind w:left="0" w:right="0" w:firstLine="0"/>
        <w:jc w:val="left"/>
      </w:pPr>
    </w:p>
    <w:sectPr w:rsidR="00900D42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104" w:rsidRDefault="00780104" w:rsidP="00E07221">
      <w:pPr>
        <w:spacing w:line="240" w:lineRule="auto"/>
      </w:pPr>
      <w:r>
        <w:separator/>
      </w:r>
    </w:p>
  </w:endnote>
  <w:endnote w:type="continuationSeparator" w:id="0">
    <w:p w:rsidR="00780104" w:rsidRDefault="00780104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"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104" w:rsidRDefault="00780104" w:rsidP="00E07221">
      <w:pPr>
        <w:spacing w:line="240" w:lineRule="auto"/>
      </w:pPr>
      <w:r>
        <w:separator/>
      </w:r>
    </w:p>
  </w:footnote>
  <w:footnote w:type="continuationSeparator" w:id="0">
    <w:p w:rsidR="00780104" w:rsidRDefault="00780104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E20"/>
    <w:rsid w:val="0001277F"/>
    <w:rsid w:val="0005390A"/>
    <w:rsid w:val="000E06B0"/>
    <w:rsid w:val="000F24CF"/>
    <w:rsid w:val="0011271E"/>
    <w:rsid w:val="00136531"/>
    <w:rsid w:val="001A4E20"/>
    <w:rsid w:val="001D6B5F"/>
    <w:rsid w:val="001E0424"/>
    <w:rsid w:val="001E6BC7"/>
    <w:rsid w:val="00207F6B"/>
    <w:rsid w:val="00274D10"/>
    <w:rsid w:val="002E5BA7"/>
    <w:rsid w:val="00352505"/>
    <w:rsid w:val="003A5D34"/>
    <w:rsid w:val="00446D67"/>
    <w:rsid w:val="004C2687"/>
    <w:rsid w:val="00530EA9"/>
    <w:rsid w:val="005925E0"/>
    <w:rsid w:val="005B3E53"/>
    <w:rsid w:val="00673A1C"/>
    <w:rsid w:val="006B23C9"/>
    <w:rsid w:val="00780104"/>
    <w:rsid w:val="007D59B1"/>
    <w:rsid w:val="008D1443"/>
    <w:rsid w:val="008E68CC"/>
    <w:rsid w:val="00900D42"/>
    <w:rsid w:val="009027F4"/>
    <w:rsid w:val="00922680"/>
    <w:rsid w:val="0095419D"/>
    <w:rsid w:val="00971070"/>
    <w:rsid w:val="00984531"/>
    <w:rsid w:val="009A2758"/>
    <w:rsid w:val="00A37BFE"/>
    <w:rsid w:val="00A37F6A"/>
    <w:rsid w:val="00AC140D"/>
    <w:rsid w:val="00AE3F8F"/>
    <w:rsid w:val="00AF52C9"/>
    <w:rsid w:val="00B57152"/>
    <w:rsid w:val="00B85F04"/>
    <w:rsid w:val="00BD2CB2"/>
    <w:rsid w:val="00BF1874"/>
    <w:rsid w:val="00E07221"/>
    <w:rsid w:val="00E26E3B"/>
    <w:rsid w:val="00E94AA2"/>
    <w:rsid w:val="00EF3947"/>
    <w:rsid w:val="00F4403F"/>
    <w:rsid w:val="00F452E0"/>
    <w:rsid w:val="00FE1D2C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78B2"/>
  <w15:docId w15:val="{8440DF20-473A-47A5-AC1F-F1BD747FA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800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30</cp:revision>
  <cp:lastPrinted>2021-01-29T13:12:00Z</cp:lastPrinted>
  <dcterms:created xsi:type="dcterms:W3CDTF">2021-01-22T11:14:00Z</dcterms:created>
  <dcterms:modified xsi:type="dcterms:W3CDTF">2021-07-30T11:17:00Z</dcterms:modified>
</cp:coreProperties>
</file>