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0F24CF">
        <w:rPr>
          <w:b/>
          <w:sz w:val="21"/>
          <w:szCs w:val="21"/>
        </w:rPr>
        <w:t>98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0F24CF">
        <w:rPr>
          <w:b/>
          <w:sz w:val="21"/>
          <w:szCs w:val="21"/>
        </w:rPr>
        <w:t>52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05390A">
        <w:rPr>
          <w:sz w:val="21"/>
          <w:szCs w:val="21"/>
        </w:rPr>
        <w:t xml:space="preserve">AQUISIÇÃO DE </w:t>
      </w:r>
      <w:r w:rsidR="00F4403F">
        <w:rPr>
          <w:sz w:val="21"/>
          <w:szCs w:val="21"/>
        </w:rPr>
        <w:t xml:space="preserve">CARRINHOS PARA LIMPEZA DE RUAS E LIXEIRAS PARA O PROGRAMA CIDADE LIMPA, VISANDO ATENDER AS NECESSIDADES DA SECRETARIA DE INFRAESTRUTURA DO MUNICÍPIO DE CORDILHEIRA ALTA/SC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E94AA2">
        <w:rPr>
          <w:i/>
          <w:sz w:val="20"/>
          <w:szCs w:val="20"/>
        </w:rPr>
        <w:t>vez.”</w:t>
      </w:r>
      <w:proofErr w:type="gramEnd"/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proofErr w:type="gramStart"/>
      <w:r w:rsidRPr="00E94AA2">
        <w:rPr>
          <w:i/>
          <w:sz w:val="20"/>
          <w:szCs w:val="20"/>
        </w:rPr>
        <w:t>caracterização</w:t>
      </w:r>
      <w:proofErr w:type="gramEnd"/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proofErr w:type="gramStart"/>
      <w:r w:rsidRPr="00E94AA2">
        <w:rPr>
          <w:i/>
          <w:sz w:val="20"/>
          <w:szCs w:val="20"/>
        </w:rPr>
        <w:t>razão</w:t>
      </w:r>
      <w:proofErr w:type="gramEnd"/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proofErr w:type="gramStart"/>
      <w:r w:rsidRPr="00E94AA2">
        <w:rPr>
          <w:i/>
          <w:sz w:val="20"/>
          <w:szCs w:val="20"/>
        </w:rPr>
        <w:t>justificativa</w:t>
      </w:r>
      <w:proofErr w:type="gramEnd"/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proofErr w:type="gramStart"/>
      <w:r w:rsidRPr="00E94AA2">
        <w:rPr>
          <w:i/>
          <w:sz w:val="20"/>
          <w:szCs w:val="20"/>
        </w:rPr>
        <w:t>documentos</w:t>
      </w:r>
      <w:proofErr w:type="gramEnd"/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B57152">
        <w:rPr>
          <w:b/>
          <w:sz w:val="21"/>
          <w:szCs w:val="21"/>
        </w:rPr>
        <w:t>DDS COMÉRCIO DE LIXEIRAS E PLACAS LTDA EPP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B57152">
        <w:rPr>
          <w:sz w:val="21"/>
          <w:szCs w:val="21"/>
        </w:rPr>
        <w:t>05.299.150/0001-61</w:t>
      </w:r>
      <w:r w:rsidRPr="008E68CC">
        <w:rPr>
          <w:sz w:val="21"/>
          <w:szCs w:val="21"/>
        </w:rPr>
        <w:t xml:space="preserve">, estabelecida na Rua </w:t>
      </w:r>
      <w:r w:rsidR="00B57152">
        <w:rPr>
          <w:sz w:val="21"/>
          <w:szCs w:val="21"/>
        </w:rPr>
        <w:t xml:space="preserve">Rio de Janeiro, n° 1195-D, Bairro Presidente Médici, </w:t>
      </w:r>
      <w:proofErr w:type="spellStart"/>
      <w:r w:rsidR="00B57152">
        <w:rPr>
          <w:sz w:val="21"/>
          <w:szCs w:val="21"/>
        </w:rPr>
        <w:t>Cep</w:t>
      </w:r>
      <w:proofErr w:type="spellEnd"/>
      <w:r w:rsidR="00B57152">
        <w:rPr>
          <w:sz w:val="21"/>
          <w:szCs w:val="21"/>
        </w:rPr>
        <w:t xml:space="preserve"> 89.801-211 em Chapecó/SC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bookmarkStart w:id="0" w:name="_GoBack"/>
      <w:r w:rsidR="00E07221" w:rsidRPr="008E68CC">
        <w:rPr>
          <w:sz w:val="21"/>
          <w:szCs w:val="21"/>
        </w:rPr>
        <w:t xml:space="preserve">R$ </w:t>
      </w:r>
      <w:r w:rsidR="005925E0">
        <w:rPr>
          <w:sz w:val="21"/>
          <w:szCs w:val="21"/>
        </w:rPr>
        <w:t>16.750,00 (Dezesseis mil setecentos e cinquenta reais)</w:t>
      </w:r>
    </w:p>
    <w:bookmarkEnd w:id="0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dotação: (Projeto Atividade 2.031</w:t>
      </w:r>
      <w:r w:rsidRPr="008E68CC">
        <w:rPr>
          <w:sz w:val="21"/>
          <w:szCs w:val="21"/>
        </w:rPr>
        <w:t xml:space="preserve"> – </w:t>
      </w:r>
      <w:r w:rsidRPr="00352505">
        <w:rPr>
          <w:sz w:val="21"/>
          <w:szCs w:val="21"/>
        </w:rPr>
        <w:t>Elemento 3.3.90</w:t>
      </w:r>
      <w:r w:rsidR="007D59B1">
        <w:rPr>
          <w:sz w:val="21"/>
          <w:szCs w:val="21"/>
        </w:rPr>
        <w:t xml:space="preserve"> e 4.4.90 – Despesa 114 e 115</w:t>
      </w:r>
      <w:r w:rsidRPr="00352505">
        <w:rPr>
          <w:sz w:val="21"/>
          <w:szCs w:val="21"/>
        </w:rPr>
        <w:t>),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after="10"/>
        <w:ind w:left="-5" w:right="0"/>
        <w:jc w:val="left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1E0424">
        <w:rPr>
          <w:sz w:val="21"/>
          <w:szCs w:val="21"/>
        </w:rPr>
        <w:t>17</w:t>
      </w:r>
      <w:r w:rsidR="001E6BC7">
        <w:rPr>
          <w:sz w:val="21"/>
          <w:szCs w:val="21"/>
        </w:rPr>
        <w:t>/08</w:t>
      </w:r>
      <w:r w:rsidR="00E07221" w:rsidRPr="008E68CC">
        <w:rPr>
          <w:sz w:val="21"/>
          <w:szCs w:val="21"/>
        </w:rPr>
        <w:t>/2021.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1E0424">
        <w:rPr>
          <w:sz w:val="21"/>
          <w:szCs w:val="21"/>
        </w:rPr>
        <w:t>25/06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 expedida pela Prefeitura Municipal de </w:t>
      </w:r>
      <w:r w:rsidR="001E0424">
        <w:rPr>
          <w:sz w:val="21"/>
          <w:szCs w:val="21"/>
        </w:rPr>
        <w:t>Chapecó</w:t>
      </w:r>
      <w:r w:rsidRPr="008E68CC">
        <w:rPr>
          <w:sz w:val="21"/>
          <w:szCs w:val="21"/>
        </w:rPr>
        <w:t xml:space="preserve">, com validade para o dia </w:t>
      </w:r>
      <w:r w:rsidR="001E0424">
        <w:rPr>
          <w:sz w:val="21"/>
          <w:szCs w:val="21"/>
        </w:rPr>
        <w:t>25/07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1E0424">
        <w:rPr>
          <w:sz w:val="21"/>
          <w:szCs w:val="21"/>
        </w:rPr>
        <w:t>09</w:t>
      </w:r>
      <w:r w:rsidR="001E6BC7">
        <w:rPr>
          <w:sz w:val="21"/>
          <w:szCs w:val="21"/>
        </w:rPr>
        <w:t>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1E0424">
        <w:rPr>
          <w:sz w:val="21"/>
          <w:szCs w:val="21"/>
        </w:rPr>
        <w:t>26/09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352505" w:rsidRDefault="00352505" w:rsidP="00352505"/>
    <w:p w:rsidR="00352505" w:rsidRDefault="00352505" w:rsidP="00352505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1E0424">
        <w:t>01/08</w:t>
      </w:r>
      <w:r>
        <w:t>/2021</w:t>
      </w:r>
    </w:p>
    <w:p w:rsidR="00352505" w:rsidRDefault="00352505" w:rsidP="00352505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1E0424">
        <w:t>01/08</w:t>
      </w:r>
      <w:r>
        <w:t>/2021</w:t>
      </w:r>
    </w:p>
    <w:p w:rsidR="00352505" w:rsidRPr="002E4656" w:rsidRDefault="00352505" w:rsidP="00352505"/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lastRenderedPageBreak/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1E0424">
        <w:rPr>
          <w:sz w:val="21"/>
          <w:szCs w:val="21"/>
        </w:rPr>
        <w:t>02 de junho</w:t>
      </w:r>
      <w:r w:rsidR="00900D42" w:rsidRPr="008E68CC">
        <w:rPr>
          <w:sz w:val="21"/>
          <w:szCs w:val="21"/>
        </w:rPr>
        <w:t xml:space="preserve"> de 202</w:t>
      </w:r>
      <w:r w:rsidRPr="008E68CC">
        <w:rPr>
          <w:sz w:val="21"/>
          <w:szCs w:val="21"/>
        </w:rPr>
        <w:t>1</w:t>
      </w:r>
      <w:r w:rsidR="00900D42" w:rsidRPr="008E68CC">
        <w:rPr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070" w:rsidRDefault="00971070" w:rsidP="00E07221">
      <w:pPr>
        <w:spacing w:line="240" w:lineRule="auto"/>
      </w:pPr>
      <w:r>
        <w:separator/>
      </w:r>
    </w:p>
  </w:endnote>
  <w:endnote w:type="continuationSeparator" w:id="0">
    <w:p w:rsidR="00971070" w:rsidRDefault="00971070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070" w:rsidRDefault="00971070" w:rsidP="00E07221">
      <w:pPr>
        <w:spacing w:line="240" w:lineRule="auto"/>
      </w:pPr>
      <w:r>
        <w:separator/>
      </w:r>
    </w:p>
  </w:footnote>
  <w:footnote w:type="continuationSeparator" w:id="0">
    <w:p w:rsidR="00971070" w:rsidRDefault="00971070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5390A"/>
    <w:rsid w:val="000F24CF"/>
    <w:rsid w:val="0011271E"/>
    <w:rsid w:val="00136531"/>
    <w:rsid w:val="001A4E20"/>
    <w:rsid w:val="001D6B5F"/>
    <w:rsid w:val="001E0424"/>
    <w:rsid w:val="001E6BC7"/>
    <w:rsid w:val="00352505"/>
    <w:rsid w:val="004C2687"/>
    <w:rsid w:val="00530EA9"/>
    <w:rsid w:val="005925E0"/>
    <w:rsid w:val="00673A1C"/>
    <w:rsid w:val="006B23C9"/>
    <w:rsid w:val="007D59B1"/>
    <w:rsid w:val="008E68CC"/>
    <w:rsid w:val="00900D42"/>
    <w:rsid w:val="00971070"/>
    <w:rsid w:val="00984531"/>
    <w:rsid w:val="009A2758"/>
    <w:rsid w:val="00AE3F8F"/>
    <w:rsid w:val="00AF52C9"/>
    <w:rsid w:val="00B57152"/>
    <w:rsid w:val="00BF1874"/>
    <w:rsid w:val="00E07221"/>
    <w:rsid w:val="00E26E3B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C6C7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699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20</cp:revision>
  <cp:lastPrinted>2021-01-29T13:12:00Z</cp:lastPrinted>
  <dcterms:created xsi:type="dcterms:W3CDTF">2021-01-22T11:14:00Z</dcterms:created>
  <dcterms:modified xsi:type="dcterms:W3CDTF">2021-06-02T17:04:00Z</dcterms:modified>
</cp:coreProperties>
</file>