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EF3947" w:rsidRPr="00EF3947">
        <w:rPr>
          <w:b/>
          <w:sz w:val="21"/>
          <w:szCs w:val="21"/>
        </w:rPr>
        <w:t>91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4C2687" w:rsidRPr="00EF3947">
        <w:rPr>
          <w:b/>
          <w:sz w:val="21"/>
          <w:szCs w:val="21"/>
        </w:rPr>
        <w:t>51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05390A">
        <w:rPr>
          <w:sz w:val="21"/>
          <w:szCs w:val="21"/>
        </w:rPr>
        <w:t xml:space="preserve">AQUISIÇÃO DE LETREIRO TURISTICO ILUMINADO ATENDENDO AS NECESSIDADES DA SECRETARIA DE CULTURA E ESPORTE DO MUNÍCPIO DE CORDILHEIRA ALTA/SC, CONFORME ESPECIFICAÇÕES DESCRITAS </w:t>
      </w:r>
      <w:r w:rsidR="0005390A">
        <w:rPr>
          <w:sz w:val="21"/>
          <w:szCs w:val="21"/>
        </w:rPr>
        <w:t>NO MEMORIAL DESCRITIVO EM ANEXO.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caracterização</w:t>
      </w:r>
      <w:proofErr w:type="gramEnd"/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razão</w:t>
      </w:r>
      <w:proofErr w:type="gramEnd"/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justificativa</w:t>
      </w:r>
      <w:proofErr w:type="gramEnd"/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documentos</w:t>
      </w:r>
      <w:proofErr w:type="gramEnd"/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1E6BC7">
        <w:rPr>
          <w:b/>
          <w:sz w:val="21"/>
          <w:szCs w:val="21"/>
        </w:rPr>
        <w:t>MH COMÉRCIO OBRAS E SERVIÇOS LTDA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1E6BC7">
        <w:rPr>
          <w:sz w:val="21"/>
          <w:szCs w:val="21"/>
        </w:rPr>
        <w:t>27.081.307/0001-10</w:t>
      </w:r>
      <w:r w:rsidRPr="008E68CC">
        <w:rPr>
          <w:sz w:val="21"/>
          <w:szCs w:val="21"/>
        </w:rPr>
        <w:t xml:space="preserve">, estabelecida na Rua </w:t>
      </w:r>
      <w:r w:rsidR="001E6BC7">
        <w:rPr>
          <w:sz w:val="21"/>
          <w:szCs w:val="21"/>
        </w:rPr>
        <w:t xml:space="preserve">Carlos Thomas </w:t>
      </w:r>
      <w:proofErr w:type="spellStart"/>
      <w:r w:rsidR="001E6BC7">
        <w:rPr>
          <w:sz w:val="21"/>
          <w:szCs w:val="21"/>
        </w:rPr>
        <w:t>Marcolin</w:t>
      </w:r>
      <w:proofErr w:type="spellEnd"/>
      <w:r w:rsidR="00AE3F8F">
        <w:rPr>
          <w:sz w:val="21"/>
          <w:szCs w:val="21"/>
        </w:rPr>
        <w:t>,</w:t>
      </w:r>
      <w:r w:rsidR="001E6BC7">
        <w:rPr>
          <w:sz w:val="21"/>
          <w:szCs w:val="21"/>
        </w:rPr>
        <w:t xml:space="preserve"> Bairro Frei Damião</w:t>
      </w:r>
      <w:r w:rsidR="00AE3F8F">
        <w:rPr>
          <w:sz w:val="21"/>
          <w:szCs w:val="21"/>
        </w:rPr>
        <w:t xml:space="preserve">, </w:t>
      </w:r>
      <w:r w:rsidR="001E6BC7">
        <w:rPr>
          <w:sz w:val="21"/>
          <w:szCs w:val="21"/>
        </w:rPr>
        <w:t>89874-000</w:t>
      </w:r>
      <w:r w:rsidR="00AE3F8F">
        <w:rPr>
          <w:sz w:val="21"/>
          <w:szCs w:val="21"/>
        </w:rPr>
        <w:t xml:space="preserve">, </w:t>
      </w:r>
      <w:r w:rsidR="001E6BC7">
        <w:rPr>
          <w:sz w:val="21"/>
          <w:szCs w:val="21"/>
        </w:rPr>
        <w:t>Maravilha</w:t>
      </w:r>
      <w:r w:rsidR="00AE3F8F">
        <w:rPr>
          <w:sz w:val="21"/>
          <w:szCs w:val="21"/>
        </w:rPr>
        <w:t>/SC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1E6BC7">
        <w:rPr>
          <w:sz w:val="21"/>
          <w:szCs w:val="21"/>
        </w:rPr>
        <w:t>12.310,00 (Doze mil trezentos e dez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As despesas decorrentes desta dispensa de licitação correrão a cargo da dotação: (Projeto Atividade 2.00</w:t>
      </w:r>
      <w:r w:rsidR="0011271E">
        <w:rPr>
          <w:sz w:val="21"/>
          <w:szCs w:val="21"/>
        </w:rPr>
        <w:t>5</w:t>
      </w:r>
      <w:r w:rsidRPr="008E68CC">
        <w:rPr>
          <w:sz w:val="21"/>
          <w:szCs w:val="21"/>
        </w:rPr>
        <w:t xml:space="preserve"> – </w:t>
      </w:r>
      <w:r w:rsidRPr="00352505">
        <w:rPr>
          <w:sz w:val="21"/>
          <w:szCs w:val="21"/>
        </w:rPr>
        <w:t>Elemento 3.3.90),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1E6BC7">
        <w:rPr>
          <w:sz w:val="21"/>
          <w:szCs w:val="21"/>
        </w:rPr>
        <w:t>25/08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1E6BC7">
        <w:rPr>
          <w:sz w:val="21"/>
          <w:szCs w:val="21"/>
        </w:rPr>
        <w:t>25/06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de </w:t>
      </w:r>
      <w:r w:rsidR="001E6BC7">
        <w:rPr>
          <w:sz w:val="21"/>
          <w:szCs w:val="21"/>
        </w:rPr>
        <w:t>Maravilha</w:t>
      </w:r>
      <w:r w:rsidRPr="008E68CC">
        <w:rPr>
          <w:sz w:val="21"/>
          <w:szCs w:val="21"/>
        </w:rPr>
        <w:t xml:space="preserve">, com validade para o dia </w:t>
      </w:r>
      <w:r w:rsidR="001E6BC7">
        <w:rPr>
          <w:sz w:val="21"/>
          <w:szCs w:val="21"/>
        </w:rPr>
        <w:t>10/08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1E6BC7">
        <w:rPr>
          <w:sz w:val="21"/>
          <w:szCs w:val="21"/>
        </w:rPr>
        <w:t>22/08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1E6BC7">
        <w:rPr>
          <w:sz w:val="21"/>
          <w:szCs w:val="21"/>
        </w:rPr>
        <w:t>05/11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>I – Certidão de Falência, Concordata e recuperação Judicial emi</w:t>
      </w:r>
      <w:r>
        <w:t xml:space="preserve">tida pelo </w:t>
      </w:r>
      <w:proofErr w:type="spellStart"/>
      <w:r>
        <w:t>eproc</w:t>
      </w:r>
      <w:proofErr w:type="spellEnd"/>
      <w:r>
        <w:t>, com validade 25</w:t>
      </w:r>
      <w:r>
        <w:t>/07/2021</w:t>
      </w:r>
    </w:p>
    <w:p w:rsidR="00352505" w:rsidRDefault="00352505" w:rsidP="00352505">
      <w:r>
        <w:t>II –Certidão de Falência, Concordata e recuperação Judicial e</w:t>
      </w:r>
      <w:r>
        <w:t xml:space="preserve">mitida pelo </w:t>
      </w:r>
      <w:proofErr w:type="spellStart"/>
      <w:r>
        <w:t>saj</w:t>
      </w:r>
      <w:proofErr w:type="spellEnd"/>
      <w:r>
        <w:t>, com validade 25</w:t>
      </w:r>
      <w:r>
        <w:t>/07/2021</w:t>
      </w:r>
    </w:p>
    <w:p w:rsidR="00352505" w:rsidRPr="002E4656" w:rsidRDefault="00352505" w:rsidP="00352505"/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>
      <w:bookmarkStart w:id="0" w:name="_GoBack"/>
      <w:bookmarkEnd w:id="0"/>
    </w:p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1E6BC7">
        <w:rPr>
          <w:sz w:val="21"/>
          <w:szCs w:val="21"/>
        </w:rPr>
        <w:t>26 de maio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TANIA MARA MAGGIONI DA SILVA</w:t>
      </w:r>
    </w:p>
    <w:p w:rsidR="004C2687" w:rsidRPr="00CD7606" w:rsidRDefault="004C2687" w:rsidP="004C2687">
      <w:pPr>
        <w:autoSpaceDE w:val="0"/>
        <w:autoSpaceDN w:val="0"/>
        <w:adjustRightInd w:val="0"/>
        <w:jc w:val="center"/>
      </w:pPr>
      <w:r>
        <w:t>1</w:t>
      </w:r>
      <w:r w:rsidRPr="00CD7606">
        <w:t>° Suplente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DCC" w:rsidRDefault="00FE4DCC" w:rsidP="00E07221">
      <w:pPr>
        <w:spacing w:line="240" w:lineRule="auto"/>
      </w:pPr>
      <w:r>
        <w:separator/>
      </w:r>
    </w:p>
  </w:endnote>
  <w:endnote w:type="continuationSeparator" w:id="0">
    <w:p w:rsidR="00FE4DCC" w:rsidRDefault="00FE4DCC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DCC" w:rsidRDefault="00FE4DCC" w:rsidP="00E07221">
      <w:pPr>
        <w:spacing w:line="240" w:lineRule="auto"/>
      </w:pPr>
      <w:r>
        <w:separator/>
      </w:r>
    </w:p>
  </w:footnote>
  <w:footnote w:type="continuationSeparator" w:id="0">
    <w:p w:rsidR="00FE4DCC" w:rsidRDefault="00FE4DCC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11271E"/>
    <w:rsid w:val="00136531"/>
    <w:rsid w:val="001A4E20"/>
    <w:rsid w:val="001D6B5F"/>
    <w:rsid w:val="001E6BC7"/>
    <w:rsid w:val="00352505"/>
    <w:rsid w:val="004C2687"/>
    <w:rsid w:val="00530EA9"/>
    <w:rsid w:val="00673A1C"/>
    <w:rsid w:val="006B23C9"/>
    <w:rsid w:val="008E68CC"/>
    <w:rsid w:val="00900D42"/>
    <w:rsid w:val="009A2758"/>
    <w:rsid w:val="00AE3F8F"/>
    <w:rsid w:val="00AF52C9"/>
    <w:rsid w:val="00BF1874"/>
    <w:rsid w:val="00E07221"/>
    <w:rsid w:val="00E26E3B"/>
    <w:rsid w:val="00E94AA2"/>
    <w:rsid w:val="00EF3947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0EFB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694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18</cp:revision>
  <cp:lastPrinted>2021-01-29T13:12:00Z</cp:lastPrinted>
  <dcterms:created xsi:type="dcterms:W3CDTF">2021-01-22T11:14:00Z</dcterms:created>
  <dcterms:modified xsi:type="dcterms:W3CDTF">2021-05-26T19:34:00Z</dcterms:modified>
</cp:coreProperties>
</file>