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CD8" w:rsidRPr="00BC464A" w:rsidRDefault="00251BE5" w:rsidP="00657150">
      <w:pPr>
        <w:tabs>
          <w:tab w:val="left" w:pos="4216"/>
          <w:tab w:val="left" w:pos="8627"/>
        </w:tabs>
        <w:ind w:left="1223"/>
        <w:rPr>
          <w:sz w:val="24"/>
          <w:szCs w:val="24"/>
        </w:rPr>
      </w:pPr>
      <w:r w:rsidRPr="00BC464A">
        <w:rPr>
          <w:sz w:val="24"/>
          <w:szCs w:val="24"/>
        </w:rPr>
        <w:tab/>
      </w:r>
      <w:r w:rsidR="00657150">
        <w:rPr>
          <w:sz w:val="24"/>
          <w:szCs w:val="24"/>
        </w:rPr>
        <w:tab/>
      </w:r>
    </w:p>
    <w:p w:rsidR="00B16CD8" w:rsidRPr="00BC464A" w:rsidRDefault="00B16CD8">
      <w:pPr>
        <w:pStyle w:val="Corpodetexto"/>
        <w:spacing w:before="1"/>
        <w:rPr>
          <w:sz w:val="24"/>
          <w:szCs w:val="24"/>
        </w:rPr>
      </w:pPr>
    </w:p>
    <w:p w:rsidR="00B16CD8" w:rsidRPr="00BC464A" w:rsidRDefault="00251BE5">
      <w:pPr>
        <w:spacing w:before="91"/>
        <w:ind w:left="3059"/>
        <w:rPr>
          <w:b/>
          <w:sz w:val="24"/>
          <w:szCs w:val="24"/>
          <w:lang w:val="pt-BR"/>
        </w:rPr>
      </w:pPr>
      <w:r w:rsidRPr="00BC464A">
        <w:rPr>
          <w:b/>
          <w:spacing w:val="-1"/>
          <w:w w:val="105"/>
          <w:sz w:val="24"/>
          <w:szCs w:val="24"/>
          <w:lang w:val="pt-BR"/>
        </w:rPr>
        <w:t>PARECER</w:t>
      </w:r>
      <w:r w:rsidRPr="00BC464A">
        <w:rPr>
          <w:b/>
          <w:spacing w:val="-3"/>
          <w:w w:val="105"/>
          <w:sz w:val="24"/>
          <w:szCs w:val="24"/>
          <w:lang w:val="pt-BR"/>
        </w:rPr>
        <w:t xml:space="preserve"> </w:t>
      </w:r>
      <w:r w:rsidR="00461BFA">
        <w:rPr>
          <w:b/>
          <w:w w:val="105"/>
          <w:sz w:val="24"/>
          <w:szCs w:val="24"/>
          <w:lang w:val="pt-BR"/>
        </w:rPr>
        <w:t>JURÍ</w:t>
      </w:r>
      <w:r w:rsidRPr="00BC464A">
        <w:rPr>
          <w:b/>
          <w:w w:val="105"/>
          <w:sz w:val="24"/>
          <w:szCs w:val="24"/>
          <w:lang w:val="pt-BR"/>
        </w:rPr>
        <w:t>DICO</w:t>
      </w:r>
    </w:p>
    <w:p w:rsidR="00B16CD8" w:rsidRPr="00BC464A" w:rsidRDefault="00B16CD8">
      <w:pPr>
        <w:pStyle w:val="Corpodetexto"/>
        <w:spacing w:before="4"/>
        <w:rPr>
          <w:b/>
          <w:sz w:val="24"/>
          <w:szCs w:val="24"/>
          <w:lang w:val="pt-BR"/>
        </w:rPr>
      </w:pPr>
    </w:p>
    <w:p w:rsidR="00BC464A" w:rsidRDefault="00251BE5" w:rsidP="00461BFA">
      <w:pPr>
        <w:spacing w:before="1" w:line="249" w:lineRule="auto"/>
        <w:ind w:left="192" w:right="1722" w:hanging="3"/>
        <w:rPr>
          <w:b/>
          <w:spacing w:val="1"/>
          <w:w w:val="105"/>
          <w:sz w:val="24"/>
          <w:szCs w:val="24"/>
          <w:lang w:val="pt-BR"/>
        </w:rPr>
      </w:pPr>
      <w:r w:rsidRPr="00BC464A">
        <w:rPr>
          <w:b/>
          <w:w w:val="105"/>
          <w:sz w:val="24"/>
          <w:szCs w:val="24"/>
          <w:lang w:val="pt-BR"/>
        </w:rPr>
        <w:t>PROCESSO</w:t>
      </w:r>
      <w:r w:rsidRPr="00BC464A">
        <w:rPr>
          <w:b/>
          <w:spacing w:val="1"/>
          <w:w w:val="105"/>
          <w:sz w:val="24"/>
          <w:szCs w:val="24"/>
          <w:lang w:val="pt-BR"/>
        </w:rPr>
        <w:t xml:space="preserve"> </w:t>
      </w:r>
      <w:r w:rsidRPr="00BC464A">
        <w:rPr>
          <w:b/>
          <w:w w:val="105"/>
          <w:sz w:val="24"/>
          <w:szCs w:val="24"/>
          <w:lang w:val="pt-BR"/>
        </w:rPr>
        <w:t>ADMINISTRATIVO:</w:t>
      </w:r>
      <w:r w:rsidRPr="00BC464A">
        <w:rPr>
          <w:b/>
          <w:spacing w:val="1"/>
          <w:w w:val="105"/>
          <w:sz w:val="24"/>
          <w:szCs w:val="24"/>
          <w:lang w:val="pt-BR"/>
        </w:rPr>
        <w:t xml:space="preserve"> </w:t>
      </w:r>
      <w:r w:rsidR="007C1E1B">
        <w:rPr>
          <w:b/>
          <w:spacing w:val="1"/>
          <w:w w:val="105"/>
          <w:sz w:val="24"/>
          <w:szCs w:val="24"/>
          <w:lang w:val="pt-BR"/>
        </w:rPr>
        <w:t>83</w:t>
      </w:r>
      <w:r w:rsidR="00461BFA">
        <w:rPr>
          <w:b/>
          <w:spacing w:val="1"/>
          <w:w w:val="105"/>
          <w:sz w:val="24"/>
          <w:szCs w:val="24"/>
          <w:lang w:val="pt-BR"/>
        </w:rPr>
        <w:t>/2021</w:t>
      </w:r>
    </w:p>
    <w:p w:rsidR="00B16CD8" w:rsidRPr="00BC464A" w:rsidRDefault="00251BE5">
      <w:pPr>
        <w:spacing w:before="1" w:line="249" w:lineRule="auto"/>
        <w:ind w:left="192" w:right="3827" w:hanging="3"/>
        <w:rPr>
          <w:b/>
          <w:sz w:val="24"/>
          <w:szCs w:val="24"/>
          <w:lang w:val="pt-BR"/>
        </w:rPr>
      </w:pPr>
      <w:r w:rsidRPr="00BC464A">
        <w:rPr>
          <w:b/>
          <w:w w:val="110"/>
          <w:sz w:val="24"/>
          <w:szCs w:val="24"/>
          <w:lang w:val="pt-BR"/>
        </w:rPr>
        <w:t>DISPENSA:</w:t>
      </w:r>
      <w:r w:rsidRPr="00BC464A">
        <w:rPr>
          <w:b/>
          <w:spacing w:val="29"/>
          <w:w w:val="110"/>
          <w:sz w:val="24"/>
          <w:szCs w:val="24"/>
          <w:lang w:val="pt-BR"/>
        </w:rPr>
        <w:t xml:space="preserve"> </w:t>
      </w:r>
      <w:r w:rsidR="007C1E1B">
        <w:rPr>
          <w:b/>
          <w:spacing w:val="29"/>
          <w:w w:val="110"/>
          <w:sz w:val="24"/>
          <w:szCs w:val="24"/>
          <w:lang w:val="pt-BR"/>
        </w:rPr>
        <w:t>45</w:t>
      </w:r>
      <w:r w:rsidR="00461BFA">
        <w:rPr>
          <w:b/>
          <w:spacing w:val="29"/>
          <w:w w:val="110"/>
          <w:sz w:val="24"/>
          <w:szCs w:val="24"/>
          <w:lang w:val="pt-BR"/>
        </w:rPr>
        <w:t>/2021</w:t>
      </w:r>
    </w:p>
    <w:p w:rsidR="00B16CD8" w:rsidRPr="00BC464A" w:rsidRDefault="00B16CD8">
      <w:pPr>
        <w:pStyle w:val="Corpodetexto"/>
        <w:spacing w:before="1"/>
        <w:rPr>
          <w:b/>
          <w:sz w:val="24"/>
          <w:szCs w:val="24"/>
          <w:lang w:val="pt-BR"/>
        </w:rPr>
      </w:pPr>
    </w:p>
    <w:p w:rsidR="00B16CD8" w:rsidRPr="00BC464A" w:rsidRDefault="00251BE5" w:rsidP="006901D0">
      <w:pPr>
        <w:ind w:left="180" w:right="21" w:firstLine="4"/>
        <w:jc w:val="both"/>
        <w:rPr>
          <w:b/>
          <w:sz w:val="24"/>
          <w:szCs w:val="24"/>
          <w:lang w:val="pt-BR"/>
        </w:rPr>
      </w:pPr>
      <w:r w:rsidRPr="00BC464A">
        <w:rPr>
          <w:b/>
          <w:w w:val="105"/>
          <w:sz w:val="24"/>
          <w:szCs w:val="24"/>
          <w:lang w:val="pt-BR"/>
        </w:rPr>
        <w:t>EMENTA:</w:t>
      </w:r>
      <w:r w:rsidRPr="00BC464A">
        <w:rPr>
          <w:b/>
          <w:spacing w:val="1"/>
          <w:w w:val="105"/>
          <w:sz w:val="24"/>
          <w:szCs w:val="24"/>
          <w:lang w:val="pt-BR"/>
        </w:rPr>
        <w:t xml:space="preserve"> </w:t>
      </w:r>
      <w:r w:rsidRPr="00BC464A">
        <w:rPr>
          <w:b/>
          <w:w w:val="105"/>
          <w:sz w:val="24"/>
          <w:szCs w:val="24"/>
          <w:lang w:val="pt-BR"/>
        </w:rPr>
        <w:t>DISPENSA</w:t>
      </w:r>
      <w:r w:rsidRPr="00BC464A">
        <w:rPr>
          <w:b/>
          <w:spacing w:val="1"/>
          <w:w w:val="105"/>
          <w:sz w:val="24"/>
          <w:szCs w:val="24"/>
          <w:lang w:val="pt-BR"/>
        </w:rPr>
        <w:t xml:space="preserve"> </w:t>
      </w:r>
      <w:r w:rsidRPr="00BC464A">
        <w:rPr>
          <w:b/>
          <w:w w:val="105"/>
          <w:sz w:val="24"/>
          <w:szCs w:val="24"/>
          <w:lang w:val="pt-BR"/>
        </w:rPr>
        <w:t>DE</w:t>
      </w:r>
      <w:r w:rsidRPr="00BC464A">
        <w:rPr>
          <w:b/>
          <w:spacing w:val="1"/>
          <w:w w:val="105"/>
          <w:sz w:val="24"/>
          <w:szCs w:val="24"/>
          <w:lang w:val="pt-BR"/>
        </w:rPr>
        <w:t xml:space="preserve"> </w:t>
      </w:r>
      <w:r w:rsidR="00BC464A">
        <w:rPr>
          <w:b/>
          <w:w w:val="105"/>
          <w:sz w:val="24"/>
          <w:szCs w:val="24"/>
          <w:lang w:val="pt-BR"/>
        </w:rPr>
        <w:t>LICITAÇÃ</w:t>
      </w:r>
      <w:r w:rsidRPr="00BC464A">
        <w:rPr>
          <w:b/>
          <w:w w:val="105"/>
          <w:sz w:val="24"/>
          <w:szCs w:val="24"/>
          <w:lang w:val="pt-BR"/>
        </w:rPr>
        <w:t>O.</w:t>
      </w:r>
      <w:r w:rsidRPr="00BC464A">
        <w:rPr>
          <w:b/>
          <w:spacing w:val="1"/>
          <w:w w:val="105"/>
          <w:sz w:val="24"/>
          <w:szCs w:val="24"/>
          <w:lang w:val="pt-BR"/>
        </w:rPr>
        <w:t xml:space="preserve"> </w:t>
      </w:r>
      <w:r w:rsidR="00BC464A">
        <w:rPr>
          <w:b/>
          <w:sz w:val="24"/>
          <w:szCs w:val="24"/>
          <w:lang w:val="pt-BR"/>
        </w:rPr>
        <w:t>CONTRATAÇÃ</w:t>
      </w:r>
      <w:r w:rsidRPr="00BC464A">
        <w:rPr>
          <w:b/>
          <w:sz w:val="24"/>
          <w:szCs w:val="24"/>
          <w:lang w:val="pt-BR"/>
        </w:rPr>
        <w:t>O</w:t>
      </w:r>
      <w:r w:rsidR="007C1E1B">
        <w:rPr>
          <w:b/>
          <w:sz w:val="24"/>
          <w:szCs w:val="24"/>
          <w:lang w:val="pt-BR"/>
        </w:rPr>
        <w:t xml:space="preserve"> DE EMPRESA ESPECIALIZADA EM ASSESSORIA DE PROCESSOS LICITATÓRIOS. NECESSIDADE DE TREINAMENTO E PADRONIZAÇÃO DE PROCEDIEMNTOS</w:t>
      </w:r>
      <w:r w:rsidRPr="00BC464A">
        <w:rPr>
          <w:b/>
          <w:w w:val="105"/>
          <w:sz w:val="24"/>
          <w:szCs w:val="24"/>
          <w:lang w:val="pt-BR"/>
        </w:rPr>
        <w:t>.</w:t>
      </w:r>
      <w:r w:rsidRPr="00BC464A">
        <w:rPr>
          <w:b/>
          <w:spacing w:val="32"/>
          <w:w w:val="105"/>
          <w:sz w:val="24"/>
          <w:szCs w:val="24"/>
          <w:lang w:val="pt-BR"/>
        </w:rPr>
        <w:t xml:space="preserve"> </w:t>
      </w:r>
      <w:r w:rsidRPr="00BC464A">
        <w:rPr>
          <w:b/>
          <w:w w:val="105"/>
          <w:sz w:val="24"/>
          <w:szCs w:val="24"/>
          <w:lang w:val="pt-BR"/>
        </w:rPr>
        <w:t>POSSIBILIDADE</w:t>
      </w:r>
      <w:r w:rsidRPr="00BC464A">
        <w:rPr>
          <w:b/>
          <w:spacing w:val="17"/>
          <w:w w:val="105"/>
          <w:sz w:val="24"/>
          <w:szCs w:val="24"/>
          <w:lang w:val="pt-BR"/>
        </w:rPr>
        <w:t xml:space="preserve"> </w:t>
      </w:r>
      <w:r w:rsidR="00BC464A">
        <w:rPr>
          <w:b/>
          <w:w w:val="105"/>
          <w:sz w:val="24"/>
          <w:szCs w:val="24"/>
          <w:lang w:val="pt-BR"/>
        </w:rPr>
        <w:t>JURÍDICA</w:t>
      </w:r>
      <w:r w:rsidRPr="00BC464A">
        <w:rPr>
          <w:b/>
          <w:w w:val="105"/>
          <w:sz w:val="24"/>
          <w:szCs w:val="24"/>
          <w:lang w:val="pt-BR"/>
        </w:rPr>
        <w:t>.</w:t>
      </w:r>
    </w:p>
    <w:p w:rsidR="00B16CD8" w:rsidRPr="00BC464A" w:rsidRDefault="00B16CD8" w:rsidP="006901D0">
      <w:pPr>
        <w:pStyle w:val="Corpodetexto"/>
        <w:spacing w:before="8"/>
        <w:ind w:right="21"/>
        <w:rPr>
          <w:b/>
          <w:sz w:val="24"/>
          <w:szCs w:val="24"/>
          <w:lang w:val="pt-BR"/>
        </w:rPr>
      </w:pPr>
    </w:p>
    <w:p w:rsidR="00657150" w:rsidRDefault="00657150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b/>
          <w:sz w:val="24"/>
          <w:szCs w:val="24"/>
          <w:lang w:val="pt-BR"/>
        </w:rPr>
      </w:pPr>
    </w:p>
    <w:p w:rsidR="00B16CD8" w:rsidRPr="00657150" w:rsidRDefault="00461BFA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b/>
          <w:sz w:val="24"/>
          <w:szCs w:val="24"/>
          <w:lang w:val="pt-BR"/>
        </w:rPr>
      </w:pPr>
      <w:r>
        <w:rPr>
          <w:rFonts w:ascii="Bookman Old Style" w:eastAsia="Calibri" w:hAnsi="Bookman Old Style"/>
          <w:b/>
          <w:sz w:val="24"/>
          <w:szCs w:val="24"/>
          <w:lang w:val="pt-BR"/>
        </w:rPr>
        <w:t xml:space="preserve">1 </w:t>
      </w:r>
      <w:r w:rsidR="00BC464A" w:rsidRPr="00657150">
        <w:rPr>
          <w:rFonts w:ascii="Bookman Old Style" w:eastAsia="Calibri" w:hAnsi="Bookman Old Style"/>
          <w:b/>
          <w:sz w:val="24"/>
          <w:szCs w:val="24"/>
          <w:lang w:val="pt-BR"/>
        </w:rPr>
        <w:t>–</w:t>
      </w:r>
      <w:r w:rsidR="00251BE5" w:rsidRPr="00657150">
        <w:rPr>
          <w:rFonts w:ascii="Bookman Old Style" w:eastAsia="Calibri" w:hAnsi="Bookman Old Style"/>
          <w:b/>
          <w:sz w:val="24"/>
          <w:szCs w:val="24"/>
          <w:lang w:val="pt-BR"/>
        </w:rPr>
        <w:t xml:space="preserve"> </w:t>
      </w:r>
      <w:r w:rsidR="00BC464A" w:rsidRPr="00657150">
        <w:rPr>
          <w:rFonts w:ascii="Bookman Old Style" w:eastAsia="Calibri" w:hAnsi="Bookman Old Style"/>
          <w:b/>
          <w:sz w:val="24"/>
          <w:szCs w:val="24"/>
          <w:lang w:val="pt-BR"/>
        </w:rPr>
        <w:t>Síntese</w:t>
      </w:r>
    </w:p>
    <w:p w:rsidR="00B022BF" w:rsidRDefault="00251BE5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Trata-se de 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>pedido de aná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lise 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>jurí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dica do procedimento administrativo de 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>dispensa de licitação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para 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contratação de empresa </w:t>
      </w:r>
      <w:r w:rsidR="007C1E1B">
        <w:rPr>
          <w:rFonts w:ascii="Bookman Old Style" w:eastAsia="Calibri" w:hAnsi="Bookman Old Style"/>
          <w:sz w:val="24"/>
          <w:szCs w:val="24"/>
          <w:lang w:val="pt-BR"/>
        </w:rPr>
        <w:t>especializada em prestação de serviços de assessoria em licitações, treinamento de servidores, padronização de procedimentos</w:t>
      </w:r>
      <w:r w:rsidR="00B022BF">
        <w:rPr>
          <w:rFonts w:ascii="Bookman Old Style" w:eastAsia="Calibri" w:hAnsi="Bookman Old Style"/>
          <w:sz w:val="24"/>
          <w:szCs w:val="24"/>
          <w:lang w:val="pt-BR"/>
        </w:rPr>
        <w:t>, emissão de pareceres, orientações sobre pregão eletrônico, plano anual de compras de acordo com as normas dispostas nas leis n. 8.666/93, 10.520/06 e 14.133/21.</w:t>
      </w:r>
    </w:p>
    <w:p w:rsidR="00B16CD8" w:rsidRDefault="00251BE5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>Instrui o expediente os seguintes documentos:</w:t>
      </w:r>
    </w:p>
    <w:p w:rsidR="00B16CD8" w:rsidRPr="006901D0" w:rsidRDefault="00BC464A" w:rsidP="00657150">
      <w:pPr>
        <w:widowControl/>
        <w:autoSpaceDE/>
        <w:autoSpaceDN/>
        <w:spacing w:before="240" w:after="240" w:line="276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>Certidã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o negativa de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dé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>bitos Federais;</w:t>
      </w:r>
    </w:p>
    <w:p w:rsidR="00B16CD8" w:rsidRPr="006901D0" w:rsidRDefault="00BC464A" w:rsidP="00657150">
      <w:pPr>
        <w:widowControl/>
        <w:autoSpaceDE/>
        <w:autoSpaceDN/>
        <w:spacing w:before="240" w:after="240" w:line="276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>Certidão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negativa de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dé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>bitos Estaduais;</w:t>
      </w:r>
    </w:p>
    <w:p w:rsidR="00B16CD8" w:rsidRPr="006901D0" w:rsidRDefault="00BC464A" w:rsidP="00657150">
      <w:pPr>
        <w:widowControl/>
        <w:autoSpaceDE/>
        <w:autoSpaceDN/>
        <w:spacing w:before="240" w:after="240" w:line="276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>Certidã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o </w:t>
      </w:r>
      <w:r w:rsidR="00657150">
        <w:rPr>
          <w:rFonts w:ascii="Bookman Old Style" w:eastAsia="Calibri" w:hAnsi="Bookman Old Style"/>
          <w:sz w:val="24"/>
          <w:szCs w:val="24"/>
          <w:lang w:val="pt-BR"/>
        </w:rPr>
        <w:t>negativa de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dé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>bitos Municipais;</w:t>
      </w:r>
    </w:p>
    <w:p w:rsidR="00B16CD8" w:rsidRPr="006901D0" w:rsidRDefault="00BC464A" w:rsidP="00657150">
      <w:pPr>
        <w:widowControl/>
        <w:autoSpaceDE/>
        <w:autoSpaceDN/>
        <w:spacing w:before="240" w:after="240" w:line="276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>Certidão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de Regularidade relativa ao FGTS;</w:t>
      </w:r>
    </w:p>
    <w:p w:rsidR="00B16CD8" w:rsidRPr="006901D0" w:rsidRDefault="00BC464A" w:rsidP="00657150">
      <w:pPr>
        <w:widowControl/>
        <w:autoSpaceDE/>
        <w:autoSpaceDN/>
        <w:spacing w:before="240" w:after="240" w:line="276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>Certidão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Negativa de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Dé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>bitos Trabalhistas;</w:t>
      </w:r>
    </w:p>
    <w:p w:rsidR="00B16CD8" w:rsidRPr="006901D0" w:rsidRDefault="00251BE5" w:rsidP="00657150">
      <w:pPr>
        <w:widowControl/>
        <w:autoSpaceDE/>
        <w:autoSpaceDN/>
        <w:spacing w:before="240" w:after="240" w:line="276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>Ato Constitutivo;</w:t>
      </w:r>
    </w:p>
    <w:p w:rsidR="00B16CD8" w:rsidRPr="006901D0" w:rsidRDefault="00251BE5" w:rsidP="00657150">
      <w:pPr>
        <w:widowControl/>
        <w:autoSpaceDE/>
        <w:autoSpaceDN/>
        <w:spacing w:before="240" w:after="240" w:line="276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lastRenderedPageBreak/>
        <w:t xml:space="preserve">Termo de </w:t>
      </w:r>
      <w:r w:rsidR="006901D0">
        <w:rPr>
          <w:rFonts w:ascii="Bookman Old Style" w:eastAsia="Calibri" w:hAnsi="Bookman Old Style"/>
          <w:sz w:val="24"/>
          <w:szCs w:val="24"/>
          <w:lang w:val="pt-BR"/>
        </w:rPr>
        <w:t>Referê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n</w:t>
      </w:r>
      <w:r w:rsidR="006901D0">
        <w:rPr>
          <w:rFonts w:ascii="Bookman Old Style" w:eastAsia="Calibri" w:hAnsi="Bookman Old Style"/>
          <w:sz w:val="24"/>
          <w:szCs w:val="24"/>
          <w:lang w:val="pt-BR"/>
        </w:rPr>
        <w:t>ci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a;</w:t>
      </w:r>
    </w:p>
    <w:p w:rsidR="00B16CD8" w:rsidRPr="006901D0" w:rsidRDefault="00BC464A" w:rsidP="00657150">
      <w:pPr>
        <w:widowControl/>
        <w:autoSpaceDE/>
        <w:autoSpaceDN/>
        <w:spacing w:before="240" w:after="240" w:line="276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>Três Orçamentos</w:t>
      </w:r>
    </w:p>
    <w:p w:rsidR="00657150" w:rsidRDefault="00657150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</w:p>
    <w:p w:rsidR="00B16CD8" w:rsidRPr="006901D0" w:rsidRDefault="006901D0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>
        <w:rPr>
          <w:rFonts w:ascii="Bookman Old Style" w:eastAsia="Calibri" w:hAnsi="Bookman Old Style"/>
          <w:sz w:val="24"/>
          <w:szCs w:val="24"/>
          <w:lang w:val="pt-BR"/>
        </w:rPr>
        <w:t>É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o </w:t>
      </w:r>
      <w:r>
        <w:rPr>
          <w:rFonts w:ascii="Bookman Old Style" w:eastAsia="Calibri" w:hAnsi="Bookman Old Style"/>
          <w:sz w:val="24"/>
          <w:szCs w:val="24"/>
          <w:lang w:val="pt-BR"/>
        </w:rPr>
        <w:t>relató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>rio.</w:t>
      </w:r>
    </w:p>
    <w:p w:rsidR="00B16CD8" w:rsidRPr="006901D0" w:rsidRDefault="00251BE5" w:rsidP="006901D0">
      <w:pPr>
        <w:tabs>
          <w:tab w:val="left" w:pos="8723"/>
        </w:tabs>
        <w:ind w:left="1281" w:right="21"/>
        <w:rPr>
          <w:sz w:val="24"/>
          <w:szCs w:val="24"/>
          <w:lang w:val="pt-BR"/>
        </w:rPr>
      </w:pPr>
      <w:r w:rsidRPr="006901D0">
        <w:rPr>
          <w:sz w:val="24"/>
          <w:szCs w:val="24"/>
          <w:lang w:val="pt-BR"/>
        </w:rPr>
        <w:tab/>
      </w:r>
    </w:p>
    <w:p w:rsidR="00B16CD8" w:rsidRPr="006901D0" w:rsidRDefault="00B16CD8" w:rsidP="006901D0">
      <w:pPr>
        <w:pStyle w:val="Corpodetexto"/>
        <w:spacing w:before="9"/>
        <w:ind w:right="21"/>
        <w:rPr>
          <w:sz w:val="24"/>
          <w:szCs w:val="24"/>
          <w:lang w:val="pt-BR"/>
        </w:rPr>
      </w:pPr>
    </w:p>
    <w:p w:rsidR="00B16CD8" w:rsidRPr="00657150" w:rsidRDefault="00461BFA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b/>
          <w:sz w:val="24"/>
          <w:szCs w:val="24"/>
          <w:lang w:val="pt-BR"/>
        </w:rPr>
      </w:pPr>
      <w:r>
        <w:rPr>
          <w:rFonts w:ascii="Bookman Old Style" w:eastAsia="Calibri" w:hAnsi="Bookman Old Style"/>
          <w:b/>
          <w:sz w:val="24"/>
          <w:szCs w:val="24"/>
          <w:lang w:val="pt-BR"/>
        </w:rPr>
        <w:t xml:space="preserve">2 </w:t>
      </w:r>
      <w:r w:rsidR="00251BE5" w:rsidRPr="00657150">
        <w:rPr>
          <w:rFonts w:ascii="Bookman Old Style" w:eastAsia="Calibri" w:hAnsi="Bookman Old Style"/>
          <w:b/>
          <w:sz w:val="24"/>
          <w:szCs w:val="24"/>
          <w:lang w:val="pt-BR"/>
        </w:rPr>
        <w:t xml:space="preserve">- </w:t>
      </w:r>
      <w:r w:rsidR="00BC464A" w:rsidRPr="00657150">
        <w:rPr>
          <w:rFonts w:ascii="Bookman Old Style" w:eastAsia="Calibri" w:hAnsi="Bookman Old Style"/>
          <w:b/>
          <w:sz w:val="24"/>
          <w:szCs w:val="24"/>
          <w:lang w:val="pt-BR"/>
        </w:rPr>
        <w:t>FUNDAMENTAÇÃO</w:t>
      </w:r>
    </w:p>
    <w:p w:rsidR="00B022BF" w:rsidRPr="00B022BF" w:rsidRDefault="00B022BF" w:rsidP="00B022BF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B022BF">
        <w:rPr>
          <w:rFonts w:ascii="Bookman Old Style" w:eastAsia="Calibri" w:hAnsi="Bookman Old Style"/>
          <w:sz w:val="24"/>
          <w:szCs w:val="24"/>
          <w:lang w:val="pt-BR"/>
        </w:rPr>
        <w:t>Preceitua a lei, que alguns atos administrativos devem ser precedidos de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022BF">
        <w:rPr>
          <w:rFonts w:ascii="Bookman Old Style" w:eastAsia="Calibri" w:hAnsi="Bookman Old Style"/>
          <w:sz w:val="24"/>
          <w:szCs w:val="24"/>
          <w:lang w:val="pt-BR"/>
        </w:rPr>
        <w:t>parecer para sua prática, sendo este o pressuposto/requisito do ato, fato que obriga o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022BF">
        <w:rPr>
          <w:rFonts w:ascii="Bookman Old Style" w:eastAsia="Calibri" w:hAnsi="Bookman Old Style"/>
          <w:sz w:val="24"/>
          <w:szCs w:val="24"/>
          <w:lang w:val="pt-BR"/>
        </w:rPr>
        <w:t>administrador a solicitá-lo, chamado de parecer obrigatório.</w:t>
      </w:r>
    </w:p>
    <w:p w:rsidR="00B022BF" w:rsidRPr="00B022BF" w:rsidRDefault="00B022BF" w:rsidP="00B022BF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B022BF">
        <w:rPr>
          <w:rFonts w:ascii="Bookman Old Style" w:eastAsia="Calibri" w:hAnsi="Bookman Old Style"/>
          <w:sz w:val="24"/>
          <w:szCs w:val="24"/>
          <w:lang w:val="pt-BR"/>
        </w:rPr>
        <w:t>Neste caso, a obrigatoriedade a que o administrador público está vinculado,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022BF">
        <w:rPr>
          <w:rFonts w:ascii="Bookman Old Style" w:eastAsia="Calibri" w:hAnsi="Bookman Old Style"/>
          <w:sz w:val="24"/>
          <w:szCs w:val="24"/>
          <w:lang w:val="pt-BR"/>
        </w:rPr>
        <w:t>não é a da conclusão ou resultado final sugerido pelo parecerista, mas da obrigação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022BF">
        <w:rPr>
          <w:rFonts w:ascii="Bookman Old Style" w:eastAsia="Calibri" w:hAnsi="Bookman Old Style"/>
          <w:sz w:val="24"/>
          <w:szCs w:val="24"/>
          <w:lang w:val="pt-BR"/>
        </w:rPr>
        <w:t>de ter que solicitá- lo por determinação legal, podendo, inclusive, agir de forma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022BF">
        <w:rPr>
          <w:rFonts w:ascii="Bookman Old Style" w:eastAsia="Calibri" w:hAnsi="Bookman Old Style"/>
          <w:sz w:val="24"/>
          <w:szCs w:val="24"/>
          <w:lang w:val="pt-BR"/>
        </w:rPr>
        <w:t>contrária a sugerida pelo prolator.</w:t>
      </w:r>
    </w:p>
    <w:p w:rsidR="00B022BF" w:rsidRPr="00B022BF" w:rsidRDefault="00B022BF" w:rsidP="00B022BF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B022BF">
        <w:rPr>
          <w:rFonts w:ascii="Bookman Old Style" w:eastAsia="Calibri" w:hAnsi="Bookman Old Style"/>
          <w:sz w:val="24"/>
          <w:szCs w:val="24"/>
          <w:lang w:val="pt-BR"/>
        </w:rPr>
        <w:t>Expondo a respeito Carvalho Filho (2016, p. 143) leciona que o parecer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022BF">
        <w:rPr>
          <w:rFonts w:ascii="Bookman Old Style" w:eastAsia="Calibri" w:hAnsi="Bookman Old Style"/>
          <w:sz w:val="24"/>
          <w:szCs w:val="24"/>
          <w:lang w:val="pt-BR"/>
        </w:rPr>
        <w:t>obrigatório “é emitido por determinação de órgão ativo ou de controle, em virtude de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022BF">
        <w:rPr>
          <w:rFonts w:ascii="Bookman Old Style" w:eastAsia="Calibri" w:hAnsi="Bookman Old Style"/>
          <w:sz w:val="24"/>
          <w:szCs w:val="24"/>
          <w:lang w:val="pt-BR"/>
        </w:rPr>
        <w:t>preceito normativo que prescreve a sua solicitação, como preliminar à emanação do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022BF">
        <w:rPr>
          <w:rFonts w:ascii="Bookman Old Style" w:eastAsia="Calibri" w:hAnsi="Bookman Old Style"/>
          <w:sz w:val="24"/>
          <w:szCs w:val="24"/>
          <w:lang w:val="pt-BR"/>
        </w:rPr>
        <w:t>ato que lhe é próprio”.</w:t>
      </w:r>
    </w:p>
    <w:p w:rsidR="00B022BF" w:rsidRPr="00B022BF" w:rsidRDefault="00B022BF" w:rsidP="00B022BF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B022BF">
        <w:rPr>
          <w:rFonts w:ascii="Bookman Old Style" w:eastAsia="Calibri" w:hAnsi="Bookman Old Style"/>
          <w:sz w:val="24"/>
          <w:szCs w:val="24"/>
          <w:lang w:val="pt-BR"/>
        </w:rPr>
        <w:t>Ainda a respeito, Mello (2007, p.142) ensina que se está diante desta espécie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022BF">
        <w:rPr>
          <w:rFonts w:ascii="Bookman Old Style" w:eastAsia="Calibri" w:hAnsi="Bookman Old Style"/>
          <w:sz w:val="24"/>
          <w:szCs w:val="24"/>
          <w:lang w:val="pt-BR"/>
        </w:rPr>
        <w:t>de parecer quando sua consulta é obrigatória, apesar de não necessitar praticar o ato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022BF">
        <w:rPr>
          <w:rFonts w:ascii="Bookman Old Style" w:eastAsia="Calibri" w:hAnsi="Bookman Old Style"/>
          <w:sz w:val="24"/>
          <w:szCs w:val="24"/>
          <w:lang w:val="pt-BR"/>
        </w:rPr>
        <w:t>conforme a orientação emitida, ou seja, é imperativa a sua solicitação, mas o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022BF">
        <w:rPr>
          <w:rFonts w:ascii="Bookman Old Style" w:eastAsia="Calibri" w:hAnsi="Bookman Old Style"/>
          <w:sz w:val="24"/>
          <w:szCs w:val="24"/>
          <w:lang w:val="pt-BR"/>
        </w:rPr>
        <w:t>administrador não fica vinculado ao conteúdo conclusivo disposto.</w:t>
      </w:r>
    </w:p>
    <w:p w:rsidR="00B022BF" w:rsidRPr="00B022BF" w:rsidRDefault="00B022BF" w:rsidP="00B022BF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B022BF">
        <w:rPr>
          <w:rFonts w:ascii="Bookman Old Style" w:eastAsia="Calibri" w:hAnsi="Bookman Old Style"/>
          <w:sz w:val="24"/>
          <w:szCs w:val="24"/>
          <w:lang w:val="pt-BR"/>
        </w:rPr>
        <w:t>Assim, conforme exposição doutrinária, vislumbra-se, limpidamente, que a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022BF">
        <w:rPr>
          <w:rFonts w:ascii="Bookman Old Style" w:eastAsia="Calibri" w:hAnsi="Bookman Old Style"/>
          <w:sz w:val="24"/>
          <w:szCs w:val="24"/>
          <w:lang w:val="pt-BR"/>
        </w:rPr>
        <w:t>obrigação a que o administrador está vinculado por determinação normativa, é a de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022BF">
        <w:rPr>
          <w:rFonts w:ascii="Bookman Old Style" w:eastAsia="Calibri" w:hAnsi="Bookman Old Style"/>
          <w:sz w:val="24"/>
          <w:szCs w:val="24"/>
          <w:lang w:val="pt-BR"/>
        </w:rPr>
        <w:t>requerer o parecer. Mas isso não significa que ele deve decidir de acordo com as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022BF">
        <w:rPr>
          <w:rFonts w:ascii="Bookman Old Style" w:eastAsia="Calibri" w:hAnsi="Bookman Old Style"/>
          <w:sz w:val="24"/>
          <w:szCs w:val="24"/>
          <w:lang w:val="pt-BR"/>
        </w:rPr>
        <w:t>conclusões opinadas pelo parecerista, podendo agir de forma diversa, desde que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022BF">
        <w:rPr>
          <w:rFonts w:ascii="Bookman Old Style" w:eastAsia="Calibri" w:hAnsi="Bookman Old Style"/>
          <w:sz w:val="24"/>
          <w:szCs w:val="24"/>
          <w:lang w:val="pt-BR"/>
        </w:rPr>
        <w:t>motive sua decisão.</w:t>
      </w:r>
    </w:p>
    <w:p w:rsidR="00B022BF" w:rsidRDefault="00B022BF" w:rsidP="00B022BF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B022BF">
        <w:rPr>
          <w:rFonts w:ascii="Bookman Old Style" w:eastAsia="Calibri" w:hAnsi="Bookman Old Style"/>
          <w:sz w:val="24"/>
          <w:szCs w:val="24"/>
          <w:lang w:val="pt-BR"/>
        </w:rPr>
        <w:t>Hely Lopes Meirelles define a natureza jurídica de parecer: “Pareceres –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022BF">
        <w:rPr>
          <w:rFonts w:ascii="Bookman Old Style" w:eastAsia="Calibri" w:hAnsi="Bookman Old Style"/>
          <w:sz w:val="24"/>
          <w:szCs w:val="24"/>
          <w:lang w:val="pt-BR"/>
        </w:rPr>
        <w:t>pareceres administrativos são manifestações de órgãos técnicos sobre assuntos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022BF">
        <w:rPr>
          <w:rFonts w:ascii="Bookman Old Style" w:eastAsia="Calibri" w:hAnsi="Bookman Old Style"/>
          <w:sz w:val="24"/>
          <w:szCs w:val="24"/>
          <w:lang w:val="pt-BR"/>
        </w:rPr>
        <w:t>submetidos a sua consideração. O parecer tem caráter meramente opinativo, não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022BF">
        <w:rPr>
          <w:rFonts w:ascii="Bookman Old Style" w:eastAsia="Calibri" w:hAnsi="Bookman Old Style"/>
          <w:sz w:val="24"/>
          <w:szCs w:val="24"/>
          <w:lang w:val="pt-BR"/>
        </w:rPr>
        <w:t>vinculando a Administração ou os particulares a sua motivação ou conclusões, salvo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022BF">
        <w:rPr>
          <w:rFonts w:ascii="Bookman Old Style" w:eastAsia="Calibri" w:hAnsi="Bookman Old Style"/>
          <w:sz w:val="24"/>
          <w:szCs w:val="24"/>
          <w:lang w:val="pt-BR"/>
        </w:rPr>
        <w:t>se aprovado por ato subseqüente. Já então, o que subsiste como ato administrativo, não é o parecer, mas sim o ato de sua aprovação, que poderá revestir a modalidade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022BF">
        <w:rPr>
          <w:rFonts w:ascii="Bookman Old Style" w:eastAsia="Calibri" w:hAnsi="Bookman Old Style"/>
          <w:sz w:val="24"/>
          <w:szCs w:val="24"/>
          <w:lang w:val="pt-BR"/>
        </w:rPr>
        <w:t>normativa, ordinária, negocial ou punitiva” (Meirelles, 2001, p. 185).</w:t>
      </w:r>
    </w:p>
    <w:p w:rsidR="00B16CD8" w:rsidRDefault="00B022BF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>
        <w:rPr>
          <w:rFonts w:ascii="Bookman Old Style" w:eastAsia="Calibri" w:hAnsi="Bookman Old Style"/>
          <w:sz w:val="24"/>
          <w:szCs w:val="24"/>
          <w:lang w:val="pt-BR"/>
        </w:rPr>
        <w:t>Portanto, r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essalta-se que este parecer e meramente opinativo, 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>não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se 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>vinculando com o mérito, ademais, a aná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lise 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>realizada por ocasião deste parecer restringe-se a verificaçã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o dos 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>requisitos formais e jurí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dicos para a dispensa do 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>processo licitató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rio, 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>abstendo-se dos aspectos técnicos, econô</w:t>
      </w:r>
      <w:r w:rsidR="00461BFA">
        <w:rPr>
          <w:rFonts w:ascii="Bookman Old Style" w:eastAsia="Calibri" w:hAnsi="Bookman Old Style"/>
          <w:sz w:val="24"/>
          <w:szCs w:val="24"/>
          <w:lang w:val="pt-BR"/>
        </w:rPr>
        <w:t>micos e/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ou </w:t>
      </w:r>
      <w:r w:rsidR="00BC464A" w:rsidRPr="006901D0">
        <w:rPr>
          <w:rFonts w:ascii="Bookman Old Style" w:eastAsia="Calibri" w:hAnsi="Bookman Old Style"/>
          <w:sz w:val="24"/>
          <w:szCs w:val="24"/>
          <w:lang w:val="pt-BR"/>
        </w:rPr>
        <w:t>discricioná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>rios.</w:t>
      </w:r>
    </w:p>
    <w:p w:rsidR="00B359DC" w:rsidRPr="006901D0" w:rsidRDefault="00B359DC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</w:p>
    <w:p w:rsidR="00B359DC" w:rsidRPr="00B359DC" w:rsidRDefault="00B359DC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b/>
          <w:sz w:val="24"/>
          <w:szCs w:val="24"/>
          <w:lang w:val="pt-BR"/>
        </w:rPr>
      </w:pPr>
      <w:r>
        <w:rPr>
          <w:rFonts w:ascii="Bookman Old Style" w:eastAsia="Calibri" w:hAnsi="Bookman Old Style"/>
          <w:b/>
          <w:sz w:val="24"/>
          <w:szCs w:val="24"/>
          <w:lang w:val="pt-BR"/>
        </w:rPr>
        <w:t>2.1 Da Dispensa de Licitação</w:t>
      </w:r>
    </w:p>
    <w:p w:rsidR="00B359DC" w:rsidRPr="00B359DC" w:rsidRDefault="00B359DC" w:rsidP="00B359DC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>
        <w:rPr>
          <w:rFonts w:ascii="Bookman Old Style" w:eastAsia="Calibri" w:hAnsi="Bookman Old Style"/>
          <w:sz w:val="24"/>
          <w:szCs w:val="24"/>
          <w:lang w:val="pt-BR"/>
        </w:rPr>
        <w:t xml:space="preserve">A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regra geral trazida pela Constituição Federal de 1988, em seu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artigo 37, inciso XXI, é que a contratação de obras, serviços, compras e alienações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deverá ser precedido de devido processo licitatório, que assegure igualdade de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condições a todos os concorrentes, e obedecendo aos princípios que regem a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Administração Pública e aos princípios que disciplinam os processos licitatórios.</w:t>
      </w:r>
    </w:p>
    <w:p w:rsidR="00B359DC" w:rsidRPr="00B359DC" w:rsidRDefault="00B359DC" w:rsidP="00B359DC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B359DC">
        <w:rPr>
          <w:rFonts w:ascii="Bookman Old Style" w:eastAsia="Calibri" w:hAnsi="Bookman Old Style"/>
          <w:sz w:val="24"/>
          <w:szCs w:val="24"/>
          <w:lang w:val="pt-BR"/>
        </w:rPr>
        <w:t>Para tanto, foi promulgada a Lei nº 8.666/93 e, posteriormente, a Lei nº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10.520/02 que disciplinam os procedimentos licitatórios nas modalidades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concorrência, tomada de preços, convite, leilão, concurso e pregão, respectivamente.</w:t>
      </w:r>
    </w:p>
    <w:p w:rsidR="00B359DC" w:rsidRDefault="00B359DC" w:rsidP="00B359DC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B359DC">
        <w:rPr>
          <w:rFonts w:ascii="Bookman Old Style" w:eastAsia="Calibri" w:hAnsi="Bookman Old Style"/>
          <w:sz w:val="24"/>
          <w:szCs w:val="24"/>
          <w:lang w:val="pt-BR"/>
        </w:rPr>
        <w:t>Muito embora a regra geral para se contratar com a Administração Pública exija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aos pretensos contratantes submeter-se à realização de licitação, a própria Lei nº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8.666/93 traz algumas hipóteses, em casos excepcionais, em que não é necessária a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realização do procedimento licitatório para a contratação com a Administração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Pública. Tratam-se dos casos de dispensa de licitação e de inexigibilidade de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licitação.</w:t>
      </w:r>
    </w:p>
    <w:p w:rsidR="00B359DC" w:rsidRPr="00B359DC" w:rsidRDefault="00B359DC" w:rsidP="00B359DC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B359DC">
        <w:rPr>
          <w:rFonts w:ascii="Bookman Old Style" w:eastAsia="Calibri" w:hAnsi="Bookman Old Style"/>
          <w:sz w:val="24"/>
          <w:szCs w:val="24"/>
          <w:lang w:val="pt-BR"/>
        </w:rPr>
        <w:t>Neste ponto, abordaremos os aspectos sobre a contratação direta, por inexigibilidade de licitação de serviço técnico profissional especializado, mais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especificamente, de assessoria jurídica, realizada por advogados, sejam eles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profissionais autônomos (pessoa física) ou por sociedades de advogados (pessoa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jurídica).</w:t>
      </w:r>
    </w:p>
    <w:p w:rsidR="00B359DC" w:rsidRPr="00B359DC" w:rsidRDefault="00B359DC" w:rsidP="00B359DC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B359DC">
        <w:rPr>
          <w:rFonts w:ascii="Bookman Old Style" w:eastAsia="Calibri" w:hAnsi="Bookman Old Style"/>
          <w:sz w:val="24"/>
          <w:szCs w:val="24"/>
          <w:lang w:val="pt-BR"/>
        </w:rPr>
        <w:t>Serviço técnico profissional especializado, nas palavras de BRAZ (2010, p. 580):</w:t>
      </w:r>
    </w:p>
    <w:p w:rsidR="00B359DC" w:rsidRPr="00B359DC" w:rsidRDefault="00B359DC" w:rsidP="00B359DC">
      <w:pPr>
        <w:widowControl/>
        <w:autoSpaceDE/>
        <w:autoSpaceDN/>
        <w:spacing w:before="240" w:line="276" w:lineRule="auto"/>
        <w:ind w:left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B359DC">
        <w:rPr>
          <w:rFonts w:ascii="Bookman Old Style" w:eastAsia="Calibri" w:hAnsi="Bookman Old Style"/>
          <w:sz w:val="24"/>
          <w:szCs w:val="24"/>
          <w:lang w:val="pt-BR"/>
        </w:rPr>
        <w:t>“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(...) </w:t>
      </w:r>
      <w:r w:rsidRPr="00B359DC">
        <w:rPr>
          <w:rFonts w:ascii="Bookman Old Style" w:eastAsia="Calibri" w:hAnsi="Bookman Old Style"/>
          <w:i/>
          <w:sz w:val="24"/>
          <w:szCs w:val="24"/>
          <w:lang w:val="pt-BR"/>
        </w:rPr>
        <w:t>é aquele que exige, além da habilidade profissional pertinente,</w:t>
      </w:r>
      <w:r w:rsidRPr="00B359DC">
        <w:rPr>
          <w:rFonts w:ascii="Bookman Old Style" w:eastAsia="Calibri" w:hAnsi="Bookman Old Style"/>
          <w:i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i/>
          <w:sz w:val="24"/>
          <w:szCs w:val="24"/>
          <w:lang w:val="pt-BR"/>
        </w:rPr>
        <w:t>conhecimentos mais avançados na técnica de sua execução, operação ou</w:t>
      </w:r>
      <w:r w:rsidRPr="00B359DC">
        <w:rPr>
          <w:rFonts w:ascii="Bookman Old Style" w:eastAsia="Calibri" w:hAnsi="Bookman Old Style"/>
          <w:i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i/>
          <w:sz w:val="24"/>
          <w:szCs w:val="24"/>
          <w:lang w:val="pt-BR"/>
        </w:rPr>
        <w:t>manutenção. Esses conhecimentos podem ser científicos ou tecnológicos,</w:t>
      </w:r>
      <w:r w:rsidRPr="00B359DC">
        <w:rPr>
          <w:rFonts w:ascii="Bookman Old Style" w:eastAsia="Calibri" w:hAnsi="Bookman Old Style"/>
          <w:i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i/>
          <w:sz w:val="24"/>
          <w:szCs w:val="24"/>
          <w:lang w:val="pt-BR"/>
        </w:rPr>
        <w:t>vale dizer, de ciência pura ou de ciência aplicada ao desenvolvimento das</w:t>
      </w:r>
      <w:r w:rsidRPr="00B359DC">
        <w:rPr>
          <w:rFonts w:ascii="Bookman Old Style" w:eastAsia="Calibri" w:hAnsi="Bookman Old Style"/>
          <w:i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i/>
          <w:sz w:val="24"/>
          <w:szCs w:val="24"/>
          <w:lang w:val="pt-BR"/>
        </w:rPr>
        <w:t>atividades humanas e às exigências do progresso social e econômico em</w:t>
      </w:r>
      <w:r w:rsidRPr="00B359DC">
        <w:rPr>
          <w:rFonts w:ascii="Bookman Old Style" w:eastAsia="Calibri" w:hAnsi="Bookman Old Style"/>
          <w:i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i/>
          <w:sz w:val="24"/>
          <w:szCs w:val="24"/>
          <w:lang w:val="pt-BR"/>
        </w:rPr>
        <w:t>todos os seus aspectos.”</w:t>
      </w:r>
    </w:p>
    <w:p w:rsidR="00B359DC" w:rsidRPr="00B359DC" w:rsidRDefault="00B359DC" w:rsidP="00B359DC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B359DC">
        <w:rPr>
          <w:rFonts w:ascii="Bookman Old Style" w:eastAsia="Calibri" w:hAnsi="Bookman Old Style"/>
          <w:sz w:val="24"/>
          <w:szCs w:val="24"/>
          <w:lang w:val="pt-BR"/>
        </w:rPr>
        <w:t>Entende-se por serviço profissional o que se relaciona a uma profissão, isto é,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uma atividade especializada de caráter permanente. Regra geral, as profissões são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regulamentadas por lei específica, que outorga a habilitação legal em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complementação à capacitação técnica.</w:t>
      </w:r>
    </w:p>
    <w:p w:rsidR="00B359DC" w:rsidRPr="00B359DC" w:rsidRDefault="00B359DC" w:rsidP="00B359DC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B359DC">
        <w:rPr>
          <w:rFonts w:ascii="Bookman Old Style" w:eastAsia="Calibri" w:hAnsi="Bookman Old Style"/>
          <w:sz w:val="24"/>
          <w:szCs w:val="24"/>
          <w:lang w:val="pt-BR"/>
        </w:rPr>
        <w:t>Além da habilitação específica para a prestação de uma espécie distinta de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serviço, a Lei identifica a necessidade de especialização, de cunho bem mais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abrangente. A especialização significa a capacitação para o exercício de uma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atividade com habilidades que não estão disponíveis para qualquer profissional.</w:t>
      </w:r>
    </w:p>
    <w:p w:rsidR="00B359DC" w:rsidRDefault="00B359DC" w:rsidP="00B359DC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>
        <w:rPr>
          <w:rFonts w:ascii="Bookman Old Style" w:eastAsia="Calibri" w:hAnsi="Bookman Old Style"/>
          <w:sz w:val="24"/>
          <w:szCs w:val="24"/>
          <w:lang w:val="pt-BR"/>
        </w:rPr>
        <w:t>A contratação direta de assessoria especializada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, sem licitação, pelos órgãos públicos em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todas as esferas de governo tem sido objeto de grande discussão entre os juristas,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alguns defendendo a tese de que cabe a contratação direta por inexigibilidade de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licitação, e outros que são adeptos à corrente que é desfavorável a tal contratação,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pois entendem que inexiste a singularidade em algumas contratações.</w:t>
      </w:r>
    </w:p>
    <w:p w:rsidR="00B359DC" w:rsidRPr="00B359DC" w:rsidRDefault="00B359DC" w:rsidP="00B359DC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B359DC">
        <w:rPr>
          <w:rFonts w:ascii="Bookman Old Style" w:eastAsia="Calibri" w:hAnsi="Bookman Old Style"/>
          <w:sz w:val="24"/>
          <w:szCs w:val="24"/>
          <w:lang w:val="pt-BR"/>
        </w:rPr>
        <w:t>Neste sentido, o art. 13 da Lei nº. 8.666/93 declara expressamente serem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 xml:space="preserve">considerados serviços técnicos </w:t>
      </w:r>
      <w:r>
        <w:rPr>
          <w:rFonts w:ascii="Bookman Old Style" w:eastAsia="Calibri" w:hAnsi="Bookman Old Style"/>
          <w:sz w:val="24"/>
          <w:szCs w:val="24"/>
          <w:lang w:val="pt-BR"/>
        </w:rPr>
        <w:t>e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specializados os trabalhos relativos a assessorias ou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consultorias técnicas e o patrocínio ou defesa de causas judiciais ou administrativas.</w:t>
      </w:r>
    </w:p>
    <w:p w:rsidR="00B359DC" w:rsidRPr="00B359DC" w:rsidRDefault="00B359DC" w:rsidP="00B359DC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B359DC">
        <w:rPr>
          <w:rFonts w:ascii="Bookman Old Style" w:eastAsia="Calibri" w:hAnsi="Bookman Old Style"/>
          <w:sz w:val="24"/>
          <w:szCs w:val="24"/>
          <w:lang w:val="pt-BR"/>
        </w:rPr>
        <w:t>Prescreve o art. 25 do Estatuto das Licitações ser inexigível a licitação quando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houver inviabilidade de competição para os serviços técnicos enumerados no já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referido art. 13, desde que de natureza singular, e o § 1º, do mesmo art. 25,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considera de notória especialidade o profissional ou a empresa cujo conceito no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campo de sua especialidade, decorrente de desempenhos anteriores, estudos,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experiências, publicações, organizações, aparelhamento, equipe técnica, ou de outros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requisitos relacionados com suas atividades, permita inferir que o seu trabalho é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essencial e indiscutivelmente o mais adequado à plena satisfação do objeto do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contrato.</w:t>
      </w:r>
    </w:p>
    <w:p w:rsidR="00B359DC" w:rsidRPr="00B359DC" w:rsidRDefault="00B359DC" w:rsidP="00B359DC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B359DC">
        <w:rPr>
          <w:rFonts w:ascii="Bookman Old Style" w:eastAsia="Calibri" w:hAnsi="Bookman Old Style"/>
          <w:sz w:val="24"/>
          <w:szCs w:val="24"/>
          <w:lang w:val="pt-BR"/>
        </w:rPr>
        <w:t>É importante, todavia, para atendimento do texto legal, que se entenda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objetivamente o que venha a ser natureza singular do objeto da contratação.</w:t>
      </w:r>
    </w:p>
    <w:p w:rsidR="00B359DC" w:rsidRDefault="00B359DC" w:rsidP="00B359DC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B359DC">
        <w:rPr>
          <w:rFonts w:ascii="Bookman Old Style" w:eastAsia="Calibri" w:hAnsi="Bookman Old Style"/>
          <w:sz w:val="24"/>
          <w:szCs w:val="24"/>
          <w:lang w:val="pt-BR"/>
        </w:rPr>
        <w:t>Entende-se que a singularidade informada pela Lei se refere ao serviço a ser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prestado. Singularidade, todavia, não pode ser entendida como unidade. É singular o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serviço que possua parti</w:t>
      </w:r>
      <w:r>
        <w:rPr>
          <w:rFonts w:ascii="Bookman Old Style" w:eastAsia="Calibri" w:hAnsi="Bookman Old Style"/>
          <w:sz w:val="24"/>
          <w:szCs w:val="24"/>
          <w:lang w:val="pt-BR"/>
        </w:rPr>
        <w:t>c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ularidades que permitam distingui-lo de outros. Tem, no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corpo da Lei, o sentido de especial. Também a singularidade se ressalta da</w:t>
      </w:r>
      <w:r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Pr="00B359DC">
        <w:rPr>
          <w:rFonts w:ascii="Bookman Old Style" w:eastAsia="Calibri" w:hAnsi="Bookman Old Style"/>
          <w:sz w:val="24"/>
          <w:szCs w:val="24"/>
          <w:lang w:val="pt-BR"/>
        </w:rPr>
        <w:t>capacidade intelectual do profissional.</w:t>
      </w:r>
    </w:p>
    <w:p w:rsidR="00B16CD8" w:rsidRDefault="00BC464A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>A contrataçã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o 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dos serviç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>os</w:t>
      </w:r>
      <w:r w:rsidR="00B022BF">
        <w:rPr>
          <w:rFonts w:ascii="Bookman Old Style" w:eastAsia="Calibri" w:hAnsi="Bookman Old Style"/>
          <w:sz w:val="24"/>
          <w:szCs w:val="24"/>
          <w:lang w:val="pt-BR"/>
        </w:rPr>
        <w:t xml:space="preserve"> de assessoria e treinamento especializado em licitações tem por escopo assegurar a lisura, higidez e estrito cumprimento aos princípios que regem a administração pública, quando da realização de processos licitatórios</w:t>
      </w:r>
      <w:r w:rsidR="00D21110" w:rsidRPr="006901D0">
        <w:rPr>
          <w:rFonts w:ascii="Bookman Old Style" w:eastAsia="Calibri" w:hAnsi="Bookman Old Style"/>
          <w:sz w:val="24"/>
          <w:szCs w:val="24"/>
          <w:lang w:val="pt-BR"/>
        </w:rPr>
        <w:t>.</w:t>
      </w:r>
    </w:p>
    <w:p w:rsidR="00B022BF" w:rsidRDefault="00B022BF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>
        <w:rPr>
          <w:rFonts w:ascii="Bookman Old Style" w:eastAsia="Calibri" w:hAnsi="Bookman Old Style"/>
          <w:sz w:val="24"/>
          <w:szCs w:val="24"/>
          <w:lang w:val="pt-BR"/>
        </w:rPr>
        <w:t>Sob tal aspecto, a padronização dos procedimentos e a otimização dos recursos depende de treinamento com elevado grau de conhecimento específico, que somente pode ser obtido mediante a contratação de empresa capacitada.</w:t>
      </w:r>
    </w:p>
    <w:p w:rsidR="00B16CD8" w:rsidRPr="006901D0" w:rsidRDefault="00D21110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>As exceções acima mencionadas estão</w:t>
      </w:r>
      <w:r w:rsidR="00251BE5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contempladas nos artigos 24 e 25 da Lei Federal n°. 8.666/93.</w:t>
      </w:r>
    </w:p>
    <w:p w:rsidR="00B16CD8" w:rsidRPr="006901D0" w:rsidRDefault="00251BE5" w:rsidP="006901D0">
      <w:pPr>
        <w:widowControl/>
        <w:autoSpaceDE/>
        <w:autoSpaceDN/>
        <w:spacing w:before="240" w:line="360" w:lineRule="auto"/>
        <w:ind w:firstLine="1843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lastRenderedPageBreak/>
        <w:t xml:space="preserve">Como se nota, o caso em comento se trata de uma das </w:t>
      </w:r>
      <w:r w:rsidR="00D21110" w:rsidRPr="006901D0">
        <w:rPr>
          <w:rFonts w:ascii="Bookman Old Style" w:eastAsia="Calibri" w:hAnsi="Bookman Old Style"/>
          <w:sz w:val="24"/>
          <w:szCs w:val="24"/>
          <w:lang w:val="pt-BR"/>
        </w:rPr>
        <w:t>hipó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teses taxativamente previstas no corpo da Lei de </w:t>
      </w:r>
      <w:r w:rsidR="00D21110" w:rsidRPr="006901D0">
        <w:rPr>
          <w:rFonts w:ascii="Bookman Old Style" w:eastAsia="Calibri" w:hAnsi="Bookman Old Style"/>
          <w:sz w:val="24"/>
          <w:szCs w:val="24"/>
          <w:lang w:val="pt-BR"/>
        </w:rPr>
        <w:t>Licitações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(Lei Federal n°. 8.666/93), conforme </w:t>
      </w:r>
      <w:r w:rsidR="00D21110" w:rsidRPr="006901D0">
        <w:rPr>
          <w:rFonts w:ascii="Bookman Old Style" w:eastAsia="Calibri" w:hAnsi="Bookman Old Style"/>
          <w:sz w:val="24"/>
          <w:szCs w:val="24"/>
          <w:lang w:val="pt-BR"/>
        </w:rPr>
        <w:t>dispõ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e o </w:t>
      </w:r>
      <w:r w:rsidR="00D21110" w:rsidRPr="006901D0">
        <w:rPr>
          <w:rFonts w:ascii="Bookman Old Style" w:eastAsia="Calibri" w:hAnsi="Bookman Old Style"/>
          <w:sz w:val="24"/>
          <w:szCs w:val="24"/>
          <w:lang w:val="pt-BR"/>
        </w:rPr>
        <w:t>Art</w:t>
      </w:r>
      <w:r w:rsidR="00B359DC">
        <w:rPr>
          <w:rFonts w:ascii="Bookman Old Style" w:eastAsia="Calibri" w:hAnsi="Bookman Old Style"/>
          <w:sz w:val="24"/>
          <w:szCs w:val="24"/>
          <w:lang w:val="pt-BR"/>
        </w:rPr>
        <w:t>. 24, inciso II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, da citada lei, vejamos:</w:t>
      </w:r>
    </w:p>
    <w:p w:rsidR="00B16CD8" w:rsidRPr="00BC464A" w:rsidRDefault="00B16CD8">
      <w:pPr>
        <w:pStyle w:val="Corpodetexto"/>
        <w:rPr>
          <w:sz w:val="24"/>
          <w:szCs w:val="24"/>
          <w:lang w:val="pt-BR"/>
        </w:rPr>
      </w:pPr>
    </w:p>
    <w:p w:rsidR="00B16CD8" w:rsidRPr="00657150" w:rsidRDefault="00251BE5" w:rsidP="00657150">
      <w:pPr>
        <w:ind w:left="2890" w:right="21" w:firstLine="63"/>
        <w:jc w:val="both"/>
        <w:rPr>
          <w:rFonts w:ascii="Bookman Old Style" w:hAnsi="Bookman Old Style"/>
          <w:i/>
          <w:w w:val="115"/>
          <w:sz w:val="24"/>
          <w:szCs w:val="24"/>
          <w:lang w:val="pt-BR"/>
        </w:rPr>
      </w:pP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Art. 24. E </w:t>
      </w:r>
      <w:r w:rsidR="00D2111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dispensá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 xml:space="preserve">vel a </w:t>
      </w:r>
      <w:r w:rsidR="00D21110"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licitação</w:t>
      </w: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:</w:t>
      </w:r>
    </w:p>
    <w:p w:rsidR="00B16CD8" w:rsidRPr="00657150" w:rsidRDefault="00251BE5" w:rsidP="00657150">
      <w:pPr>
        <w:ind w:left="2890" w:right="21" w:firstLine="63"/>
        <w:jc w:val="both"/>
        <w:rPr>
          <w:rFonts w:ascii="Bookman Old Style" w:hAnsi="Bookman Old Style"/>
          <w:i/>
          <w:w w:val="115"/>
          <w:sz w:val="24"/>
          <w:szCs w:val="24"/>
          <w:lang w:val="pt-BR"/>
        </w:rPr>
      </w:pPr>
      <w:r w:rsidRPr="00657150">
        <w:rPr>
          <w:rFonts w:ascii="Bookman Old Style" w:hAnsi="Bookman Old Style"/>
          <w:i/>
          <w:w w:val="115"/>
          <w:sz w:val="24"/>
          <w:szCs w:val="24"/>
          <w:lang w:val="pt-BR"/>
        </w:rPr>
        <w:t>(...)</w:t>
      </w:r>
    </w:p>
    <w:p w:rsidR="00B16CD8" w:rsidRPr="00657150" w:rsidRDefault="00B359DC" w:rsidP="00657150">
      <w:pPr>
        <w:ind w:left="2890" w:right="21" w:firstLine="63"/>
        <w:jc w:val="both"/>
        <w:rPr>
          <w:rFonts w:ascii="Bookman Old Style" w:hAnsi="Bookman Old Style"/>
          <w:i/>
          <w:w w:val="115"/>
          <w:sz w:val="24"/>
          <w:szCs w:val="24"/>
          <w:lang w:val="pt-BR"/>
        </w:rPr>
      </w:pPr>
      <w:r w:rsidRPr="00B359DC">
        <w:rPr>
          <w:rFonts w:ascii="Bookman Old Style" w:hAnsi="Bookman Old Style"/>
          <w:i/>
          <w:w w:val="115"/>
          <w:sz w:val="24"/>
          <w:szCs w:val="24"/>
          <w:lang w:val="pt-BR"/>
        </w:rPr>
        <w:t>II - para outros serviços e compras de valor até 10% (dez por cento) do limite previsto na alínea "a", do inciso II do artigo anterior e para alienações, nos casos previstos nesta Lei, desde que não se refiram a parcelas de um mesmo serviço, compra ou alienação de maior vulto que possa ser r</w:t>
      </w:r>
      <w:r>
        <w:rPr>
          <w:rFonts w:ascii="Bookman Old Style" w:hAnsi="Bookman Old Style"/>
          <w:i/>
          <w:w w:val="115"/>
          <w:sz w:val="24"/>
          <w:szCs w:val="24"/>
          <w:lang w:val="pt-BR"/>
        </w:rPr>
        <w:t>ealizada de uma só vez;</w:t>
      </w:r>
    </w:p>
    <w:p w:rsidR="00B16CD8" w:rsidRPr="00BC464A" w:rsidRDefault="00B16CD8">
      <w:pPr>
        <w:pStyle w:val="Corpodetexto"/>
        <w:spacing w:before="6"/>
        <w:rPr>
          <w:sz w:val="24"/>
          <w:szCs w:val="24"/>
          <w:lang w:val="pt-BR"/>
        </w:rPr>
      </w:pPr>
    </w:p>
    <w:p w:rsidR="00B16CD8" w:rsidRPr="00BC464A" w:rsidRDefault="00B16CD8">
      <w:pPr>
        <w:pStyle w:val="Corpodetexto"/>
        <w:spacing w:before="7"/>
        <w:rPr>
          <w:sz w:val="24"/>
          <w:szCs w:val="24"/>
          <w:lang w:val="pt-BR"/>
        </w:rPr>
      </w:pPr>
    </w:p>
    <w:p w:rsidR="00B16CD8" w:rsidRPr="00BC464A" w:rsidRDefault="00B16CD8">
      <w:pPr>
        <w:pStyle w:val="Corpodetexto"/>
        <w:spacing w:before="7"/>
        <w:rPr>
          <w:sz w:val="24"/>
          <w:szCs w:val="24"/>
          <w:lang w:val="pt-BR"/>
        </w:rPr>
      </w:pPr>
    </w:p>
    <w:p w:rsidR="00B16CD8" w:rsidRPr="006901D0" w:rsidRDefault="00251BE5" w:rsidP="00B359DC">
      <w:pPr>
        <w:widowControl/>
        <w:autoSpaceDE/>
        <w:autoSpaceDN/>
        <w:spacing w:before="240" w:line="360" w:lineRule="auto"/>
        <w:ind w:firstLine="1985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Assim, coadunando os fatos com as </w:t>
      </w:r>
      <w:r w:rsidR="000E06B0" w:rsidRPr="006901D0">
        <w:rPr>
          <w:rFonts w:ascii="Bookman Old Style" w:eastAsia="Calibri" w:hAnsi="Bookman Old Style"/>
          <w:sz w:val="24"/>
          <w:szCs w:val="24"/>
          <w:lang w:val="pt-BR"/>
        </w:rPr>
        <w:t>razões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de direito acima </w:t>
      </w:r>
      <w:r w:rsidR="000E06B0" w:rsidRPr="006901D0">
        <w:rPr>
          <w:rFonts w:ascii="Bookman Old Style" w:eastAsia="Calibri" w:hAnsi="Bookman Old Style"/>
          <w:sz w:val="24"/>
          <w:szCs w:val="24"/>
          <w:lang w:val="pt-BR"/>
        </w:rPr>
        <w:t>estampadas, e</w:t>
      </w:r>
      <w:r w:rsidR="00B359DC">
        <w:rPr>
          <w:rFonts w:ascii="Bookman Old Style" w:eastAsia="Calibri" w:hAnsi="Bookman Old Style"/>
          <w:sz w:val="24"/>
          <w:szCs w:val="24"/>
          <w:lang w:val="pt-BR"/>
        </w:rPr>
        <w:t xml:space="preserve"> ante a necessidade de treinamento, padronização de procedimentos, orientação e emissão de pareceres em licitações do ente público municipal, e, satisfeitos os requisitos legais, não há óbice legal a contratação postulada no processo de Dispensa de Licitação n. 45/2021.</w:t>
      </w:r>
      <w:r w:rsidR="00B359DC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</w:p>
    <w:p w:rsidR="00B16CD8" w:rsidRPr="00657150" w:rsidRDefault="00461BFA" w:rsidP="00657150">
      <w:pPr>
        <w:widowControl/>
        <w:autoSpaceDE/>
        <w:autoSpaceDN/>
        <w:spacing w:before="240" w:line="360" w:lineRule="auto"/>
        <w:ind w:firstLine="1985"/>
        <w:jc w:val="both"/>
        <w:rPr>
          <w:rFonts w:ascii="Bookman Old Style" w:eastAsia="Calibri" w:hAnsi="Bookman Old Style"/>
          <w:b/>
          <w:sz w:val="24"/>
          <w:szCs w:val="24"/>
          <w:lang w:val="pt-BR"/>
        </w:rPr>
      </w:pPr>
      <w:r>
        <w:rPr>
          <w:rFonts w:ascii="Bookman Old Style" w:eastAsia="Calibri" w:hAnsi="Bookman Old Style"/>
          <w:b/>
          <w:sz w:val="24"/>
          <w:szCs w:val="24"/>
          <w:lang w:val="pt-BR"/>
        </w:rPr>
        <w:t xml:space="preserve">3 </w:t>
      </w:r>
      <w:r w:rsidR="00251BE5" w:rsidRPr="00657150">
        <w:rPr>
          <w:rFonts w:ascii="Bookman Old Style" w:eastAsia="Calibri" w:hAnsi="Bookman Old Style"/>
          <w:b/>
          <w:sz w:val="24"/>
          <w:szCs w:val="24"/>
          <w:lang w:val="pt-BR"/>
        </w:rPr>
        <w:t xml:space="preserve">- </w:t>
      </w:r>
      <w:r w:rsidR="006901D0" w:rsidRPr="00657150">
        <w:rPr>
          <w:rFonts w:ascii="Bookman Old Style" w:eastAsia="Calibri" w:hAnsi="Bookman Old Style"/>
          <w:b/>
          <w:sz w:val="24"/>
          <w:szCs w:val="24"/>
          <w:lang w:val="pt-BR"/>
        </w:rPr>
        <w:t>CONCLUSÃO</w:t>
      </w:r>
    </w:p>
    <w:p w:rsidR="006901D0" w:rsidRPr="006901D0" w:rsidRDefault="00251BE5" w:rsidP="00657150">
      <w:pPr>
        <w:widowControl/>
        <w:autoSpaceDE/>
        <w:autoSpaceDN/>
        <w:spacing w:before="240" w:line="360" w:lineRule="auto"/>
        <w:ind w:firstLine="1985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>Ante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o exposto, verifica-se que estã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o presentes os aspectos formais e legais, 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>razã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o pela qual, esta Assessoria 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>Jurí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dica opina pelo prossegui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>m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ento do feito, devend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>o ser providenciado a ratificação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e a respectiva publica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>ção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do processo na imprensa oficial, dentro do prazo legal, nos termos do artigo 26 da Lei Federal n. 8.666/93. </w:t>
      </w:r>
    </w:p>
    <w:p w:rsidR="00B16CD8" w:rsidRPr="006901D0" w:rsidRDefault="00251BE5" w:rsidP="00657150">
      <w:pPr>
        <w:widowControl/>
        <w:autoSpaceDE/>
        <w:autoSpaceDN/>
        <w:spacing w:before="240" w:line="360" w:lineRule="auto"/>
        <w:ind w:firstLine="1985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Salienta-se, por derradeiro, que a presente 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>manifestação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possui 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>natureza estritamente jurí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dica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>/consultiva, não tendo o condão de chancelar opções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>té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cnicas adotadas pela 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>Administração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, nem de emitir 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>juí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zo de 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>conveniê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>ncia e oportunidade.</w:t>
      </w:r>
    </w:p>
    <w:p w:rsidR="006901D0" w:rsidRPr="006901D0" w:rsidRDefault="006901D0" w:rsidP="006901D0">
      <w:pPr>
        <w:widowControl/>
        <w:autoSpaceDE/>
        <w:autoSpaceDN/>
        <w:spacing w:before="240" w:line="360" w:lineRule="auto"/>
        <w:jc w:val="both"/>
        <w:rPr>
          <w:rFonts w:ascii="Bookman Old Style" w:eastAsia="Calibri" w:hAnsi="Bookman Old Style"/>
          <w:sz w:val="24"/>
          <w:szCs w:val="24"/>
          <w:lang w:val="pt-BR"/>
        </w:rPr>
      </w:pPr>
    </w:p>
    <w:p w:rsidR="00B16CD8" w:rsidRPr="006901D0" w:rsidRDefault="00251BE5" w:rsidP="006901D0">
      <w:pPr>
        <w:widowControl/>
        <w:autoSpaceDE/>
        <w:autoSpaceDN/>
        <w:spacing w:before="240" w:line="360" w:lineRule="auto"/>
        <w:jc w:val="both"/>
        <w:rPr>
          <w:rFonts w:ascii="Bookman Old Style" w:eastAsia="Calibri" w:hAnsi="Bookman Old Style"/>
          <w:sz w:val="24"/>
          <w:szCs w:val="24"/>
          <w:lang w:val="pt-BR"/>
        </w:rPr>
      </w:pP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Cordilheira Alta/ SC, </w:t>
      </w:r>
      <w:r w:rsidR="006D7638">
        <w:rPr>
          <w:rFonts w:ascii="Bookman Old Style" w:eastAsia="Calibri" w:hAnsi="Bookman Old Style"/>
          <w:sz w:val="24"/>
          <w:szCs w:val="24"/>
          <w:lang w:val="pt-BR"/>
        </w:rPr>
        <w:t>17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de </w:t>
      </w:r>
      <w:r w:rsidR="006901D0" w:rsidRPr="006901D0">
        <w:rPr>
          <w:rFonts w:ascii="Bookman Old Style" w:eastAsia="Calibri" w:hAnsi="Bookman Old Style"/>
          <w:sz w:val="24"/>
          <w:szCs w:val="24"/>
          <w:lang w:val="pt-BR"/>
        </w:rPr>
        <w:t>maio</w:t>
      </w:r>
      <w:r w:rsidRPr="006901D0">
        <w:rPr>
          <w:rFonts w:ascii="Bookman Old Style" w:eastAsia="Calibri" w:hAnsi="Bookman Old Style"/>
          <w:sz w:val="24"/>
          <w:szCs w:val="24"/>
          <w:lang w:val="pt-BR"/>
        </w:rPr>
        <w:t xml:space="preserve"> de 2021.</w:t>
      </w:r>
    </w:p>
    <w:p w:rsidR="00B16CD8" w:rsidRPr="00BC464A" w:rsidRDefault="00B16CD8">
      <w:pPr>
        <w:pStyle w:val="Corpodetexto"/>
        <w:rPr>
          <w:sz w:val="24"/>
          <w:szCs w:val="24"/>
          <w:lang w:val="pt-BR"/>
        </w:rPr>
      </w:pPr>
    </w:p>
    <w:p w:rsidR="00B16CD8" w:rsidRPr="00BC464A" w:rsidRDefault="00B16CD8">
      <w:pPr>
        <w:pStyle w:val="Corpodetexto"/>
        <w:rPr>
          <w:sz w:val="24"/>
          <w:szCs w:val="24"/>
          <w:lang w:val="pt-BR"/>
        </w:rPr>
      </w:pPr>
    </w:p>
    <w:p w:rsidR="00B16CD8" w:rsidRPr="00BC464A" w:rsidRDefault="00B16CD8">
      <w:pPr>
        <w:pStyle w:val="Corpodetexto"/>
        <w:rPr>
          <w:sz w:val="24"/>
          <w:szCs w:val="24"/>
          <w:lang w:val="pt-BR"/>
        </w:rPr>
      </w:pPr>
    </w:p>
    <w:p w:rsidR="00B16CD8" w:rsidRPr="00BC464A" w:rsidRDefault="00B16CD8">
      <w:pPr>
        <w:pStyle w:val="Corpodetexto"/>
        <w:rPr>
          <w:sz w:val="24"/>
          <w:szCs w:val="24"/>
          <w:lang w:val="pt-BR"/>
        </w:rPr>
      </w:pPr>
      <w:bookmarkStart w:id="0" w:name="_GoBack"/>
      <w:bookmarkEnd w:id="0"/>
    </w:p>
    <w:p w:rsidR="00BB61AD" w:rsidRPr="00461BFA" w:rsidRDefault="00BB61AD" w:rsidP="00BB61AD">
      <w:pPr>
        <w:spacing w:before="240" w:line="360" w:lineRule="auto"/>
        <w:ind w:firstLine="1843"/>
        <w:jc w:val="both"/>
        <w:rPr>
          <w:rFonts w:ascii="Bookman Old Style" w:hAnsi="Bookman Old Style"/>
          <w:sz w:val="24"/>
          <w:szCs w:val="24"/>
          <w:lang w:val="pt-BR"/>
        </w:rPr>
      </w:pPr>
    </w:p>
    <w:p w:rsidR="00BB61AD" w:rsidRPr="00BB61AD" w:rsidRDefault="00BB61AD" w:rsidP="00BB61AD">
      <w:pPr>
        <w:jc w:val="center"/>
        <w:rPr>
          <w:rFonts w:ascii="Bookman Old Style" w:hAnsi="Bookman Old Style"/>
          <w:b/>
          <w:sz w:val="24"/>
          <w:szCs w:val="24"/>
          <w:lang w:val="pt-BR"/>
        </w:rPr>
      </w:pPr>
      <w:r w:rsidRPr="00BB61AD">
        <w:rPr>
          <w:rFonts w:ascii="Bookman Old Style" w:hAnsi="Bookman Old Style"/>
          <w:b/>
          <w:sz w:val="24"/>
          <w:szCs w:val="24"/>
          <w:lang w:val="pt-BR"/>
        </w:rPr>
        <w:t>Clériston Valentini – OAB/SC 27.754</w:t>
      </w:r>
    </w:p>
    <w:p w:rsidR="00BB61AD" w:rsidRPr="00BB61AD" w:rsidRDefault="00BB61AD" w:rsidP="00BB61AD">
      <w:pPr>
        <w:jc w:val="center"/>
        <w:rPr>
          <w:rFonts w:ascii="Bookman Old Style" w:hAnsi="Bookman Old Style"/>
          <w:b/>
          <w:sz w:val="24"/>
          <w:szCs w:val="24"/>
          <w:lang w:val="pt-BR"/>
        </w:rPr>
      </w:pPr>
      <w:r w:rsidRPr="00BB61AD">
        <w:rPr>
          <w:rFonts w:ascii="Bookman Old Style" w:hAnsi="Bookman Old Style"/>
          <w:b/>
          <w:sz w:val="24"/>
          <w:szCs w:val="24"/>
          <w:lang w:val="pt-BR"/>
        </w:rPr>
        <w:t>Assessor Jurídico</w:t>
      </w:r>
    </w:p>
    <w:p w:rsidR="00B16CD8" w:rsidRPr="00BC464A" w:rsidRDefault="00B16CD8">
      <w:pPr>
        <w:pStyle w:val="Corpodetexto"/>
        <w:rPr>
          <w:sz w:val="24"/>
          <w:szCs w:val="24"/>
          <w:lang w:val="pt-BR"/>
        </w:rPr>
      </w:pPr>
    </w:p>
    <w:sectPr w:rsidR="00B16CD8" w:rsidRPr="00BC464A" w:rsidSect="00BB61AD">
      <w:headerReference w:type="default" r:id="rId8"/>
      <w:pgSz w:w="11910" w:h="16840"/>
      <w:pgMar w:top="568" w:right="1704" w:bottom="1460" w:left="1680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360" w:rsidRDefault="00A53360">
      <w:r>
        <w:separator/>
      </w:r>
    </w:p>
  </w:endnote>
  <w:endnote w:type="continuationSeparator" w:id="0">
    <w:p w:rsidR="00A53360" w:rsidRDefault="00A53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360" w:rsidRDefault="00A53360">
      <w:r>
        <w:separator/>
      </w:r>
    </w:p>
  </w:footnote>
  <w:footnote w:type="continuationSeparator" w:id="0">
    <w:p w:rsidR="00A53360" w:rsidRDefault="00A533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1AD" w:rsidRDefault="00BB61AD" w:rsidP="00657150">
    <w:pPr>
      <w:pStyle w:val="Cabealho"/>
      <w:jc w:val="center"/>
    </w:pPr>
  </w:p>
  <w:p w:rsidR="00BB61AD" w:rsidRDefault="00BB61AD" w:rsidP="00657150">
    <w:pPr>
      <w:pStyle w:val="Cabealho"/>
      <w:jc w:val="center"/>
    </w:pPr>
  </w:p>
  <w:p w:rsidR="00657150" w:rsidRDefault="00657150" w:rsidP="00657150">
    <w:pPr>
      <w:pStyle w:val="Cabealho"/>
      <w:jc w:val="center"/>
    </w:pPr>
    <w:r w:rsidRPr="005030BE">
      <w:rPr>
        <w:noProof/>
        <w:lang w:val="pt-BR" w:eastAsia="pt-BR"/>
      </w:rPr>
      <w:drawing>
        <wp:inline distT="0" distB="0" distL="0" distR="0" wp14:anchorId="1C5E6393" wp14:editId="6C1EBD0A">
          <wp:extent cx="3216712" cy="555981"/>
          <wp:effectExtent l="0" t="0" r="3175" b="0"/>
          <wp:docPr id="43" name="Imagem 43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2768" cy="5570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B61AD" w:rsidRDefault="00BB61AD" w:rsidP="00657150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C67E6"/>
    <w:multiLevelType w:val="hybridMultilevel"/>
    <w:tmpl w:val="3C061212"/>
    <w:lvl w:ilvl="0" w:tplc="BACC9E8A">
      <w:start w:val="1"/>
      <w:numFmt w:val="upperRoman"/>
      <w:lvlText w:val="%1"/>
      <w:lvlJc w:val="left"/>
      <w:pPr>
        <w:ind w:left="334" w:hanging="155"/>
        <w:jc w:val="right"/>
      </w:pPr>
      <w:rPr>
        <w:rFonts w:hint="default"/>
        <w:w w:val="104"/>
      </w:rPr>
    </w:lvl>
    <w:lvl w:ilvl="1" w:tplc="7CB6CEF8">
      <w:start w:val="1"/>
      <w:numFmt w:val="lowerLetter"/>
      <w:lvlText w:val="%2)"/>
      <w:lvlJc w:val="left"/>
      <w:pPr>
        <w:ind w:left="1128" w:hanging="279"/>
      </w:pPr>
      <w:rPr>
        <w:rFonts w:hint="default"/>
        <w:spacing w:val="-1"/>
        <w:w w:val="105"/>
      </w:rPr>
    </w:lvl>
    <w:lvl w:ilvl="2" w:tplc="822EA496">
      <w:numFmt w:val="bullet"/>
      <w:lvlText w:val="•"/>
      <w:lvlJc w:val="left"/>
      <w:pPr>
        <w:ind w:left="2093" w:hanging="279"/>
      </w:pPr>
      <w:rPr>
        <w:rFonts w:hint="default"/>
      </w:rPr>
    </w:lvl>
    <w:lvl w:ilvl="3" w:tplc="9DCC1B78">
      <w:numFmt w:val="bullet"/>
      <w:lvlText w:val="•"/>
      <w:lvlJc w:val="left"/>
      <w:pPr>
        <w:ind w:left="3067" w:hanging="279"/>
      </w:pPr>
      <w:rPr>
        <w:rFonts w:hint="default"/>
      </w:rPr>
    </w:lvl>
    <w:lvl w:ilvl="4" w:tplc="32C66450">
      <w:numFmt w:val="bullet"/>
      <w:lvlText w:val="•"/>
      <w:lvlJc w:val="left"/>
      <w:pPr>
        <w:ind w:left="4041" w:hanging="279"/>
      </w:pPr>
      <w:rPr>
        <w:rFonts w:hint="default"/>
      </w:rPr>
    </w:lvl>
    <w:lvl w:ilvl="5" w:tplc="CA0CCCE0">
      <w:numFmt w:val="bullet"/>
      <w:lvlText w:val="•"/>
      <w:lvlJc w:val="left"/>
      <w:pPr>
        <w:ind w:left="5015" w:hanging="279"/>
      </w:pPr>
      <w:rPr>
        <w:rFonts w:hint="default"/>
      </w:rPr>
    </w:lvl>
    <w:lvl w:ilvl="6" w:tplc="6186B5CE">
      <w:numFmt w:val="bullet"/>
      <w:lvlText w:val="•"/>
      <w:lvlJc w:val="left"/>
      <w:pPr>
        <w:ind w:left="5988" w:hanging="279"/>
      </w:pPr>
      <w:rPr>
        <w:rFonts w:hint="default"/>
      </w:rPr>
    </w:lvl>
    <w:lvl w:ilvl="7" w:tplc="0F048E88">
      <w:numFmt w:val="bullet"/>
      <w:lvlText w:val="•"/>
      <w:lvlJc w:val="left"/>
      <w:pPr>
        <w:ind w:left="6962" w:hanging="279"/>
      </w:pPr>
      <w:rPr>
        <w:rFonts w:hint="default"/>
      </w:rPr>
    </w:lvl>
    <w:lvl w:ilvl="8" w:tplc="73144892">
      <w:numFmt w:val="bullet"/>
      <w:lvlText w:val="•"/>
      <w:lvlJc w:val="left"/>
      <w:pPr>
        <w:ind w:left="7936" w:hanging="27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CD8"/>
    <w:rsid w:val="000E06B0"/>
    <w:rsid w:val="001342C3"/>
    <w:rsid w:val="00167267"/>
    <w:rsid w:val="00251BE5"/>
    <w:rsid w:val="00461BFA"/>
    <w:rsid w:val="005837A8"/>
    <w:rsid w:val="00657150"/>
    <w:rsid w:val="006901D0"/>
    <w:rsid w:val="006D7638"/>
    <w:rsid w:val="007C1E1B"/>
    <w:rsid w:val="00A53360"/>
    <w:rsid w:val="00B022BF"/>
    <w:rsid w:val="00B16CD8"/>
    <w:rsid w:val="00B359DC"/>
    <w:rsid w:val="00BB61AD"/>
    <w:rsid w:val="00BC464A"/>
    <w:rsid w:val="00D2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1F9F51D-DCF6-4727-B9F3-4307D398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tulo1">
    <w:name w:val="heading 1"/>
    <w:basedOn w:val="Normal"/>
    <w:uiPriority w:val="1"/>
    <w:qFormat/>
    <w:pPr>
      <w:ind w:left="479" w:hanging="343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ind w:left="1114" w:hanging="343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57150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57150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57150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65715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57150"/>
    <w:rPr>
      <w:rFonts w:ascii="Times New Roman" w:eastAsia="Times New Roman" w:hAnsi="Times New Roman" w:cs="Times New Roman"/>
    </w:rPr>
  </w:style>
  <w:style w:type="paragraph" w:styleId="Rodap">
    <w:name w:val="footer"/>
    <w:basedOn w:val="Normal"/>
    <w:link w:val="RodapChar"/>
    <w:uiPriority w:val="99"/>
    <w:unhideWhenUsed/>
    <w:rsid w:val="0065715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57150"/>
    <w:rPr>
      <w:rFonts w:ascii="Times New Roman" w:eastAsia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61BF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61BF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54C38-1CE1-4BC5-BB44-B6448B0CC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1512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Estoque</dc:creator>
  <cp:lastModifiedBy>Estoque</cp:lastModifiedBy>
  <cp:revision>2</cp:revision>
  <cp:lastPrinted>2021-05-17T14:30:00Z</cp:lastPrinted>
  <dcterms:created xsi:type="dcterms:W3CDTF">2021-05-17T14:32:00Z</dcterms:created>
  <dcterms:modified xsi:type="dcterms:W3CDTF">2021-05-17T14:32:00Z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2021-05-12T00:00:00Z</vt:filetime>
  </property>
  <property fmtid="{D5CDD505-2E9C-101B-9397-08002B2CF9AE}" pid="3" name="LastSaved">
    <vt:filetime>2021-05-12T00:00:00Z</vt:filetime>
  </property>
</Properties>
</file>