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8DC" w:rsidRPr="002866A1" w:rsidRDefault="00F828DC" w:rsidP="00F828DC">
      <w:pPr>
        <w:spacing w:after="0" w:line="259" w:lineRule="auto"/>
        <w:ind w:right="0" w:firstLine="0"/>
        <w:jc w:val="center"/>
        <w:rPr>
          <w:b/>
          <w:sz w:val="22"/>
        </w:rPr>
      </w:pPr>
      <w:r w:rsidRPr="005B4D9C">
        <w:rPr>
          <w:b/>
          <w:sz w:val="22"/>
        </w:rPr>
        <w:t xml:space="preserve">PROCESSO </w:t>
      </w:r>
      <w:r w:rsidRPr="002866A1">
        <w:rPr>
          <w:b/>
          <w:sz w:val="22"/>
        </w:rPr>
        <w:t xml:space="preserve">ADMINISTRATIVO N° </w:t>
      </w:r>
      <w:r w:rsidR="0063289B" w:rsidRPr="002866A1">
        <w:rPr>
          <w:b/>
          <w:sz w:val="22"/>
        </w:rPr>
        <w:t>81</w:t>
      </w:r>
      <w:r w:rsidRPr="002866A1">
        <w:rPr>
          <w:b/>
          <w:sz w:val="22"/>
        </w:rPr>
        <w:t>/2021</w:t>
      </w:r>
    </w:p>
    <w:p w:rsidR="00FB682D" w:rsidRPr="005B4D9C" w:rsidRDefault="0065531E">
      <w:pPr>
        <w:spacing w:after="0" w:line="259" w:lineRule="auto"/>
        <w:ind w:left="10" w:right="14" w:hanging="10"/>
        <w:jc w:val="center"/>
        <w:rPr>
          <w:sz w:val="22"/>
        </w:rPr>
      </w:pPr>
      <w:r w:rsidRPr="002866A1">
        <w:rPr>
          <w:b/>
          <w:sz w:val="22"/>
        </w:rPr>
        <w:t xml:space="preserve">DISPENSA DE LICITAÇÃO N° </w:t>
      </w:r>
      <w:r w:rsidR="0063289B" w:rsidRPr="002866A1">
        <w:rPr>
          <w:b/>
          <w:sz w:val="22"/>
        </w:rPr>
        <w:t>44</w:t>
      </w:r>
      <w:r w:rsidR="00F828DC" w:rsidRPr="002866A1">
        <w:rPr>
          <w:b/>
          <w:sz w:val="22"/>
        </w:rPr>
        <w:t>/2021</w:t>
      </w:r>
      <w:r w:rsidR="00F828DC" w:rsidRPr="005B4D9C">
        <w:rPr>
          <w:b/>
          <w:sz w:val="22"/>
        </w:rPr>
        <w:t xml:space="preserve"> </w:t>
      </w:r>
    </w:p>
    <w:p w:rsidR="00FB682D" w:rsidRPr="005B4D9C" w:rsidRDefault="00F828DC">
      <w:pPr>
        <w:spacing w:after="0" w:line="259" w:lineRule="auto"/>
        <w:ind w:right="0" w:firstLine="0"/>
        <w:jc w:val="left"/>
        <w:rPr>
          <w:sz w:val="22"/>
        </w:rPr>
      </w:pPr>
      <w:r w:rsidRPr="005B4D9C">
        <w:rPr>
          <w:sz w:val="22"/>
        </w:rPr>
        <w:t xml:space="preserve"> </w:t>
      </w:r>
    </w:p>
    <w:p w:rsidR="00FB682D" w:rsidRDefault="00F828DC">
      <w:pPr>
        <w:pStyle w:val="Ttulo1"/>
        <w:ind w:left="163" w:right="0" w:hanging="178"/>
        <w:rPr>
          <w:sz w:val="22"/>
        </w:rPr>
      </w:pPr>
      <w:r w:rsidRPr="005B4D9C">
        <w:rPr>
          <w:sz w:val="22"/>
        </w:rPr>
        <w:t xml:space="preserve">- DO OBJETO </w:t>
      </w:r>
    </w:p>
    <w:p w:rsidR="0065531E" w:rsidRPr="0065531E" w:rsidRDefault="0065531E" w:rsidP="0065531E"/>
    <w:p w:rsidR="004963B1" w:rsidRPr="004963B1" w:rsidRDefault="00F828DC" w:rsidP="004963B1">
      <w:pPr>
        <w:ind w:left="-15" w:firstLine="0"/>
        <w:rPr>
          <w:sz w:val="22"/>
        </w:rPr>
      </w:pPr>
      <w:r w:rsidRPr="005B4D9C">
        <w:rPr>
          <w:sz w:val="22"/>
        </w:rPr>
        <w:t xml:space="preserve">O objeto da presente dispensa de licitação é a </w:t>
      </w:r>
      <w:r w:rsidR="004963B1">
        <w:rPr>
          <w:sz w:val="22"/>
        </w:rPr>
        <w:t>c</w:t>
      </w:r>
      <w:r w:rsidR="004963B1" w:rsidRPr="004963B1">
        <w:rPr>
          <w:sz w:val="22"/>
        </w:rPr>
        <w:t>ontratação de empresa para prestação de serviço de transporte de água não potável com caminhão pipa, para área rural do Município de Cordilheira Alta, com finalidade de suprir o consumo animal, bem como para abastecimento da Estação Municipal de Tratamento de Água, tudo visando atender as necessidades emergenciais, nos te</w:t>
      </w:r>
      <w:r w:rsidR="0065531E">
        <w:rPr>
          <w:sz w:val="22"/>
        </w:rPr>
        <w:t xml:space="preserve">rmos do </w:t>
      </w:r>
      <w:r w:rsidR="0065531E" w:rsidRPr="0065531E">
        <w:rPr>
          <w:b/>
          <w:sz w:val="22"/>
        </w:rPr>
        <w:t>Decreto Municipal n. 198/2021</w:t>
      </w:r>
      <w:r w:rsidR="004963B1" w:rsidRPr="0065531E">
        <w:rPr>
          <w:b/>
          <w:sz w:val="22"/>
        </w:rPr>
        <w:t>.</w:t>
      </w:r>
      <w:r w:rsidR="004963B1" w:rsidRPr="004963B1">
        <w:rPr>
          <w:sz w:val="22"/>
        </w:rPr>
        <w:t xml:space="preserve"> </w:t>
      </w:r>
    </w:p>
    <w:p w:rsidR="00FB682D" w:rsidRPr="005B4D9C" w:rsidRDefault="00FB682D">
      <w:pPr>
        <w:spacing w:after="0" w:line="259" w:lineRule="auto"/>
        <w:ind w:right="0" w:firstLine="0"/>
        <w:jc w:val="left"/>
        <w:rPr>
          <w:sz w:val="22"/>
        </w:rPr>
      </w:pPr>
    </w:p>
    <w:p w:rsidR="00FB682D" w:rsidRDefault="00F828DC">
      <w:pPr>
        <w:pStyle w:val="Ttulo1"/>
        <w:ind w:left="259" w:right="0" w:hanging="274"/>
        <w:rPr>
          <w:sz w:val="22"/>
        </w:rPr>
      </w:pPr>
      <w:r w:rsidRPr="005B4D9C">
        <w:rPr>
          <w:sz w:val="22"/>
        </w:rPr>
        <w:t xml:space="preserve">– FUNDAMENTAÇÃO LEGAL </w:t>
      </w:r>
    </w:p>
    <w:p w:rsidR="0065531E" w:rsidRPr="0065531E" w:rsidRDefault="0065531E" w:rsidP="0065531E"/>
    <w:p w:rsidR="00FB682D" w:rsidRPr="005B4D9C" w:rsidRDefault="00F828DC">
      <w:pPr>
        <w:ind w:left="-15"/>
        <w:rPr>
          <w:sz w:val="22"/>
        </w:rPr>
      </w:pPr>
      <w:r w:rsidRPr="005B4D9C">
        <w:rPr>
          <w:sz w:val="22"/>
        </w:rPr>
        <w:t xml:space="preserve">A Lei de Licitações e Contratos nº. 8.666/93, em seu artigo 24, estabelece, em rol taxativo, as hipóteses em que o processo licitatório poderá ser dispensado.  </w:t>
      </w:r>
    </w:p>
    <w:p w:rsidR="00FB682D" w:rsidRPr="005B4D9C" w:rsidRDefault="00F828DC">
      <w:pPr>
        <w:spacing w:after="0" w:line="259" w:lineRule="auto"/>
        <w:ind w:left="708" w:right="0" w:firstLine="0"/>
        <w:jc w:val="left"/>
        <w:rPr>
          <w:sz w:val="22"/>
        </w:rPr>
      </w:pPr>
      <w:r w:rsidRPr="005B4D9C">
        <w:rPr>
          <w:sz w:val="22"/>
        </w:rPr>
        <w:t xml:space="preserve"> </w:t>
      </w:r>
    </w:p>
    <w:p w:rsidR="00FB682D" w:rsidRPr="005B4D9C" w:rsidRDefault="00F828DC">
      <w:pPr>
        <w:ind w:left="-15"/>
        <w:rPr>
          <w:sz w:val="22"/>
        </w:rPr>
      </w:pPr>
      <w:r w:rsidRPr="005B4D9C">
        <w:rPr>
          <w:sz w:val="22"/>
        </w:rPr>
        <w:t xml:space="preserve">No caso em questão, verifica-se a dispensa de licitação com base jurídica no inciso IV do artigo 24 da Lei nº 8.666/93: </w:t>
      </w:r>
    </w:p>
    <w:p w:rsidR="00FB682D" w:rsidRPr="005B4D9C" w:rsidRDefault="00F828DC">
      <w:pPr>
        <w:spacing w:after="0" w:line="259" w:lineRule="auto"/>
        <w:ind w:left="708" w:right="0" w:firstLine="0"/>
        <w:jc w:val="left"/>
        <w:rPr>
          <w:sz w:val="22"/>
        </w:rPr>
      </w:pPr>
      <w:r w:rsidRPr="005B4D9C">
        <w:rPr>
          <w:sz w:val="22"/>
        </w:rPr>
        <w:t xml:space="preserve"> </w:t>
      </w:r>
    </w:p>
    <w:p w:rsidR="00FB682D" w:rsidRPr="005B4D9C" w:rsidRDefault="00F828DC" w:rsidP="00716558">
      <w:pPr>
        <w:spacing w:after="4"/>
        <w:ind w:left="2268" w:right="4" w:hanging="10"/>
        <w:rPr>
          <w:sz w:val="22"/>
        </w:rPr>
      </w:pPr>
      <w:r w:rsidRPr="005B4D9C">
        <w:rPr>
          <w:i/>
          <w:sz w:val="22"/>
        </w:rPr>
        <w:t xml:space="preserve">Art. 24 É dispensável a licitação: </w:t>
      </w:r>
    </w:p>
    <w:p w:rsidR="00FB682D" w:rsidRPr="005B4D9C" w:rsidRDefault="00F828DC" w:rsidP="00716558">
      <w:pPr>
        <w:spacing w:after="4"/>
        <w:ind w:left="2268" w:right="4" w:hanging="10"/>
        <w:rPr>
          <w:sz w:val="22"/>
        </w:rPr>
      </w:pPr>
      <w:r w:rsidRPr="005B4D9C">
        <w:rPr>
          <w:i/>
          <w:sz w:val="22"/>
        </w:rPr>
        <w:t xml:space="preserve">IV - nos casos de emergência ou de calamidade pública, quando caracterizada urgência de atendimento de situação que possa ocasionar prejuízo ou comprometer a segurança de pessoas, obras, serviços, equipamentos e outros bens, públicos ou particulares, e somente para os bens necessários ao atendimento da situação emergencial ou calamitosa e para as parcelas de obras e serviços que possam ser concluídas no </w:t>
      </w:r>
      <w:r w:rsidRPr="005B4D9C">
        <w:rPr>
          <w:i/>
          <w:sz w:val="22"/>
          <w:u w:val="single" w:color="000000"/>
        </w:rPr>
        <w:t>prazo máximo de 180 (cento e oitenta) dias</w:t>
      </w:r>
      <w:r w:rsidRPr="005B4D9C">
        <w:rPr>
          <w:i/>
          <w:sz w:val="22"/>
        </w:rPr>
        <w:t xml:space="preserve"> consecutivos e ininterruptos, contados da ocorrência da emergência ou calamidade, vedada a prorrogação dos respectivos contratos;” </w:t>
      </w:r>
    </w:p>
    <w:p w:rsidR="00FB682D" w:rsidRPr="005B4D9C" w:rsidRDefault="00F828DC">
      <w:pPr>
        <w:spacing w:after="20" w:line="259" w:lineRule="auto"/>
        <w:ind w:left="1702" w:right="0" w:firstLine="0"/>
        <w:jc w:val="left"/>
        <w:rPr>
          <w:sz w:val="22"/>
        </w:rPr>
      </w:pPr>
      <w:r w:rsidRPr="005B4D9C">
        <w:rPr>
          <w:i/>
          <w:sz w:val="22"/>
        </w:rPr>
        <w:t xml:space="preserve"> </w:t>
      </w:r>
    </w:p>
    <w:p w:rsidR="00FB682D" w:rsidRPr="004963B1" w:rsidRDefault="00F828DC">
      <w:pPr>
        <w:ind w:left="-15"/>
        <w:rPr>
          <w:sz w:val="22"/>
        </w:rPr>
      </w:pPr>
      <w:r w:rsidRPr="004963B1">
        <w:rPr>
          <w:sz w:val="22"/>
        </w:rPr>
        <w:t xml:space="preserve">Desta forma, a contratação por emergência ocorre em situações imprevisíveis que devem ser prontamente atendidas pela Administração Pública, sob pena de causar prejuízo ao interesse público primário.  </w:t>
      </w:r>
    </w:p>
    <w:p w:rsidR="00FB682D" w:rsidRPr="004963B1" w:rsidRDefault="00F828DC">
      <w:pPr>
        <w:spacing w:after="0" w:line="259" w:lineRule="auto"/>
        <w:ind w:right="221" w:firstLine="0"/>
        <w:jc w:val="center"/>
        <w:rPr>
          <w:sz w:val="22"/>
        </w:rPr>
      </w:pPr>
      <w:r w:rsidRPr="004963B1">
        <w:rPr>
          <w:sz w:val="22"/>
        </w:rPr>
        <w:t xml:space="preserve"> </w:t>
      </w:r>
    </w:p>
    <w:p w:rsidR="00FB682D" w:rsidRDefault="00F828DC">
      <w:pPr>
        <w:pStyle w:val="Ttulo1"/>
        <w:ind w:left="355" w:right="0" w:hanging="370"/>
        <w:rPr>
          <w:sz w:val="22"/>
        </w:rPr>
      </w:pPr>
      <w:r w:rsidRPr="004963B1">
        <w:rPr>
          <w:sz w:val="22"/>
        </w:rPr>
        <w:t xml:space="preserve">– DA JUSTIFICATIVA DA DISPENSA  </w:t>
      </w:r>
    </w:p>
    <w:p w:rsidR="0065531E" w:rsidRPr="0065531E" w:rsidRDefault="0065531E" w:rsidP="0065531E"/>
    <w:p w:rsidR="00FB682D" w:rsidRPr="004963B1" w:rsidRDefault="00F828DC">
      <w:pPr>
        <w:ind w:left="708" w:firstLine="0"/>
        <w:rPr>
          <w:sz w:val="22"/>
        </w:rPr>
      </w:pPr>
      <w:r w:rsidRPr="004963B1">
        <w:rPr>
          <w:sz w:val="22"/>
        </w:rPr>
        <w:t xml:space="preserve">Diz o art. 26 da Lei 8.666/93, em seu parágrafo único: </w:t>
      </w:r>
    </w:p>
    <w:p w:rsidR="00FB682D" w:rsidRPr="005B4D9C" w:rsidRDefault="00F828DC">
      <w:pPr>
        <w:spacing w:after="0" w:line="259" w:lineRule="auto"/>
        <w:ind w:left="708" w:right="0" w:firstLine="0"/>
        <w:jc w:val="left"/>
        <w:rPr>
          <w:sz w:val="22"/>
        </w:rPr>
      </w:pPr>
      <w:r w:rsidRPr="005B4D9C">
        <w:rPr>
          <w:sz w:val="22"/>
        </w:rPr>
        <w:t xml:space="preserve"> </w:t>
      </w:r>
    </w:p>
    <w:p w:rsidR="00FB682D" w:rsidRPr="005B4D9C" w:rsidRDefault="00F828DC" w:rsidP="00716558">
      <w:pPr>
        <w:spacing w:after="4"/>
        <w:ind w:left="2268" w:right="4" w:hanging="10"/>
        <w:rPr>
          <w:sz w:val="22"/>
        </w:rPr>
      </w:pPr>
      <w:r w:rsidRPr="005B4D9C">
        <w:rPr>
          <w:i/>
          <w:sz w:val="22"/>
        </w:rPr>
        <w:t xml:space="preserve">“Parágrafo único – O processo de dispensa, de inexigibilidade ou de retardamento, previsto neste artigo, será instruído, no que couber, com os seguintes elementos: </w:t>
      </w:r>
    </w:p>
    <w:p w:rsidR="00FB682D" w:rsidRPr="005B4D9C" w:rsidRDefault="00F828DC" w:rsidP="00716558">
      <w:pPr>
        <w:numPr>
          <w:ilvl w:val="0"/>
          <w:numId w:val="1"/>
        </w:numPr>
        <w:spacing w:after="4"/>
        <w:ind w:left="2268" w:right="4" w:hanging="250"/>
        <w:rPr>
          <w:sz w:val="22"/>
        </w:rPr>
      </w:pPr>
      <w:r w:rsidRPr="005B4D9C">
        <w:rPr>
          <w:i/>
          <w:sz w:val="22"/>
        </w:rPr>
        <w:t xml:space="preserve">– </w:t>
      </w:r>
      <w:proofErr w:type="gramStart"/>
      <w:r w:rsidRPr="005B4D9C">
        <w:rPr>
          <w:i/>
          <w:sz w:val="22"/>
        </w:rPr>
        <w:t>caracterização</w:t>
      </w:r>
      <w:proofErr w:type="gramEnd"/>
      <w:r w:rsidRPr="005B4D9C">
        <w:rPr>
          <w:i/>
          <w:sz w:val="22"/>
        </w:rPr>
        <w:t xml:space="preserve"> da situação emergencial ou calamitosa que justifique a dispensa, quando for o caso; </w:t>
      </w:r>
    </w:p>
    <w:p w:rsidR="00FB682D" w:rsidRPr="005B4D9C" w:rsidRDefault="00F828DC" w:rsidP="00716558">
      <w:pPr>
        <w:numPr>
          <w:ilvl w:val="0"/>
          <w:numId w:val="1"/>
        </w:numPr>
        <w:spacing w:after="4"/>
        <w:ind w:left="2268" w:right="4" w:hanging="250"/>
        <w:rPr>
          <w:sz w:val="22"/>
        </w:rPr>
      </w:pPr>
      <w:r w:rsidRPr="005B4D9C">
        <w:rPr>
          <w:i/>
          <w:sz w:val="22"/>
        </w:rPr>
        <w:t xml:space="preserve">– </w:t>
      </w:r>
      <w:proofErr w:type="gramStart"/>
      <w:r w:rsidRPr="005B4D9C">
        <w:rPr>
          <w:i/>
          <w:sz w:val="22"/>
        </w:rPr>
        <w:t>razão</w:t>
      </w:r>
      <w:proofErr w:type="gramEnd"/>
      <w:r w:rsidRPr="005B4D9C">
        <w:rPr>
          <w:i/>
          <w:sz w:val="22"/>
        </w:rPr>
        <w:t xml:space="preserve"> da escolha do fornecedor ou executante; </w:t>
      </w:r>
    </w:p>
    <w:p w:rsidR="00FB682D" w:rsidRPr="005B4D9C" w:rsidRDefault="00F828DC" w:rsidP="00716558">
      <w:pPr>
        <w:numPr>
          <w:ilvl w:val="0"/>
          <w:numId w:val="1"/>
        </w:numPr>
        <w:spacing w:after="4"/>
        <w:ind w:left="2268" w:right="4" w:hanging="250"/>
        <w:rPr>
          <w:sz w:val="22"/>
        </w:rPr>
      </w:pPr>
      <w:r w:rsidRPr="005B4D9C">
        <w:rPr>
          <w:i/>
          <w:sz w:val="22"/>
        </w:rPr>
        <w:t xml:space="preserve">– </w:t>
      </w:r>
      <w:proofErr w:type="gramStart"/>
      <w:r w:rsidRPr="005B4D9C">
        <w:rPr>
          <w:i/>
          <w:sz w:val="22"/>
        </w:rPr>
        <w:t>justificativa</w:t>
      </w:r>
      <w:proofErr w:type="gramEnd"/>
      <w:r w:rsidRPr="005B4D9C">
        <w:rPr>
          <w:i/>
          <w:sz w:val="22"/>
        </w:rPr>
        <w:t xml:space="preserve"> do preço; </w:t>
      </w:r>
    </w:p>
    <w:p w:rsidR="00FB682D" w:rsidRPr="005B4D9C" w:rsidRDefault="00F828DC" w:rsidP="00716558">
      <w:pPr>
        <w:numPr>
          <w:ilvl w:val="0"/>
          <w:numId w:val="1"/>
        </w:numPr>
        <w:spacing w:after="4"/>
        <w:ind w:left="2268" w:right="4" w:hanging="250"/>
        <w:rPr>
          <w:sz w:val="22"/>
        </w:rPr>
      </w:pPr>
      <w:r w:rsidRPr="005B4D9C">
        <w:rPr>
          <w:i/>
          <w:sz w:val="22"/>
        </w:rPr>
        <w:lastRenderedPageBreak/>
        <w:t xml:space="preserve">– documentos de aprovação dos projetos de pesquisa aos quais os bens serão </w:t>
      </w:r>
      <w:proofErr w:type="gramStart"/>
      <w:r w:rsidRPr="005B4D9C">
        <w:rPr>
          <w:i/>
          <w:sz w:val="22"/>
        </w:rPr>
        <w:t>alocados.”</w:t>
      </w:r>
      <w:proofErr w:type="gramEnd"/>
      <w:r w:rsidRPr="005B4D9C">
        <w:rPr>
          <w:i/>
          <w:sz w:val="22"/>
        </w:rPr>
        <w:t xml:space="preserve"> </w:t>
      </w:r>
    </w:p>
    <w:p w:rsidR="00FB682D" w:rsidRPr="005B4D9C" w:rsidRDefault="00F828DC">
      <w:pPr>
        <w:spacing w:after="20" w:line="259" w:lineRule="auto"/>
        <w:ind w:left="1702" w:right="0" w:firstLine="0"/>
        <w:jc w:val="left"/>
        <w:rPr>
          <w:sz w:val="22"/>
        </w:rPr>
      </w:pPr>
      <w:r w:rsidRPr="005B4D9C">
        <w:rPr>
          <w:i/>
          <w:sz w:val="22"/>
        </w:rPr>
        <w:t xml:space="preserve"> </w:t>
      </w:r>
    </w:p>
    <w:p w:rsidR="00FB682D" w:rsidRPr="004963B1" w:rsidRDefault="00F828DC">
      <w:pPr>
        <w:ind w:left="-15"/>
        <w:rPr>
          <w:sz w:val="22"/>
        </w:rPr>
      </w:pPr>
      <w:r w:rsidRPr="004963B1">
        <w:rPr>
          <w:sz w:val="22"/>
        </w:rPr>
        <w:t xml:space="preserve">No presente caso, revela-se efetiva situação emergencial, uma vez que, a população do Município de Cordilheira Alta não pode ficar sem o abastecimento de água, sob pena de restringir direitos fundamentais dos munícipes, o que implicaria em grave afronta ao interesse público.  </w:t>
      </w:r>
    </w:p>
    <w:p w:rsidR="00FB682D" w:rsidRPr="004963B1" w:rsidRDefault="00F828DC">
      <w:pPr>
        <w:spacing w:after="0" w:line="259" w:lineRule="auto"/>
        <w:ind w:left="708" w:right="0" w:firstLine="0"/>
        <w:jc w:val="left"/>
        <w:rPr>
          <w:sz w:val="22"/>
        </w:rPr>
      </w:pPr>
      <w:r w:rsidRPr="004963B1">
        <w:rPr>
          <w:sz w:val="22"/>
        </w:rPr>
        <w:t xml:space="preserve">  </w:t>
      </w:r>
    </w:p>
    <w:p w:rsidR="00FB682D" w:rsidRPr="004963B1" w:rsidRDefault="004963B1">
      <w:pPr>
        <w:ind w:left="-15"/>
        <w:rPr>
          <w:sz w:val="22"/>
        </w:rPr>
      </w:pPr>
      <w:r w:rsidRPr="004963B1">
        <w:rPr>
          <w:sz w:val="22"/>
        </w:rPr>
        <w:t xml:space="preserve">Igualmente </w:t>
      </w:r>
      <w:r w:rsidR="00F828DC" w:rsidRPr="004963B1">
        <w:rPr>
          <w:sz w:val="22"/>
        </w:rPr>
        <w:t xml:space="preserve">podemos justificar a contratação devido à grande falta de água que vem ocorrendo em nosso município e na região oeste, em que muitas famílias já estão sentindo a falta de água, tanto para consumo próprio como para o consumo dos animais. Isso vem ocorrendo devido à falta de chuvas no município.  </w:t>
      </w:r>
    </w:p>
    <w:p w:rsidR="00FB682D" w:rsidRPr="004963B1" w:rsidRDefault="00F828DC">
      <w:pPr>
        <w:spacing w:after="0" w:line="259" w:lineRule="auto"/>
        <w:ind w:left="708" w:right="0" w:firstLine="0"/>
        <w:jc w:val="left"/>
        <w:rPr>
          <w:sz w:val="22"/>
        </w:rPr>
      </w:pPr>
      <w:r w:rsidRPr="004963B1">
        <w:rPr>
          <w:sz w:val="22"/>
        </w:rPr>
        <w:t xml:space="preserve"> </w:t>
      </w:r>
    </w:p>
    <w:p w:rsidR="00FB682D" w:rsidRPr="004963B1" w:rsidRDefault="00F828DC">
      <w:pPr>
        <w:ind w:left="-15"/>
        <w:rPr>
          <w:sz w:val="22"/>
        </w:rPr>
      </w:pPr>
      <w:r w:rsidRPr="004963B1">
        <w:rPr>
          <w:sz w:val="22"/>
        </w:rPr>
        <w:t xml:space="preserve">Registra-se que, o Município de Cordilheira Alta, através do Decreto n. </w:t>
      </w:r>
      <w:r w:rsidR="0065531E" w:rsidRPr="0063289B">
        <w:rPr>
          <w:sz w:val="22"/>
          <w:u w:val="single"/>
        </w:rPr>
        <w:t>198</w:t>
      </w:r>
      <w:r w:rsidRPr="0063289B">
        <w:rPr>
          <w:sz w:val="22"/>
          <w:u w:val="single"/>
        </w:rPr>
        <w:t xml:space="preserve"> de 23 de </w:t>
      </w:r>
      <w:r w:rsidR="0065531E" w:rsidRPr="0063289B">
        <w:rPr>
          <w:sz w:val="22"/>
          <w:u w:val="single"/>
        </w:rPr>
        <w:t>abril de 2021</w:t>
      </w:r>
      <w:r w:rsidRPr="004963B1">
        <w:rPr>
          <w:sz w:val="22"/>
        </w:rPr>
        <w:t xml:space="preserve">, decretou situação anormal, caracterizada como situação de emergência em todo o território do Município de Cordilheira Alta, em decorrência da forte estiagem que vem assolando toda a região. </w:t>
      </w:r>
    </w:p>
    <w:p w:rsidR="00FB682D" w:rsidRPr="004963B1" w:rsidRDefault="00F828DC">
      <w:pPr>
        <w:spacing w:after="0" w:line="259" w:lineRule="auto"/>
        <w:ind w:left="708" w:right="0" w:firstLine="0"/>
        <w:jc w:val="left"/>
        <w:rPr>
          <w:sz w:val="22"/>
        </w:rPr>
      </w:pPr>
      <w:r w:rsidRPr="004963B1">
        <w:rPr>
          <w:sz w:val="22"/>
        </w:rPr>
        <w:t xml:space="preserve"> </w:t>
      </w:r>
    </w:p>
    <w:p w:rsidR="004963B1" w:rsidRPr="004963B1" w:rsidRDefault="00F828DC" w:rsidP="004963B1">
      <w:pPr>
        <w:ind w:left="-15"/>
        <w:rPr>
          <w:sz w:val="22"/>
        </w:rPr>
      </w:pPr>
      <w:r w:rsidRPr="004963B1">
        <w:rPr>
          <w:sz w:val="22"/>
        </w:rPr>
        <w:t xml:space="preserve"> Neste sentido, </w:t>
      </w:r>
      <w:r w:rsidR="004963B1" w:rsidRPr="004963B1">
        <w:rPr>
          <w:sz w:val="22"/>
        </w:rPr>
        <w:t>registra-se que, em tempos de estiagem, todos sofrem. O agricultor com o investimento alto nas plantações; poços que abastecem casas, aviários, chiqueirões e gado estão à míngua, praticamente secos.</w:t>
      </w:r>
    </w:p>
    <w:p w:rsidR="004963B1" w:rsidRPr="004963B1" w:rsidRDefault="004963B1" w:rsidP="004963B1">
      <w:pPr>
        <w:ind w:left="-15"/>
        <w:rPr>
          <w:sz w:val="22"/>
        </w:rPr>
      </w:pPr>
    </w:p>
    <w:p w:rsidR="004963B1" w:rsidRPr="004963B1" w:rsidRDefault="004963B1" w:rsidP="004963B1">
      <w:pPr>
        <w:ind w:left="-15"/>
        <w:rPr>
          <w:sz w:val="22"/>
        </w:rPr>
      </w:pPr>
      <w:r w:rsidRPr="004963B1">
        <w:rPr>
          <w:sz w:val="22"/>
        </w:rPr>
        <w:t>Assim, a Secretaria de Água e Saneamento e a Secretária da Agricultura estão trabalhando assiduamente para manter o fornecimento de água no município, seja através do abastecimento da Estação Municipal de Tratamento de Água, seja com o fornecimento de água aos agricultores deste município, com finalidade para o consumo animal.</w:t>
      </w:r>
    </w:p>
    <w:p w:rsidR="004963B1" w:rsidRPr="004963B1" w:rsidRDefault="004963B1" w:rsidP="004963B1">
      <w:pPr>
        <w:ind w:left="-15"/>
        <w:rPr>
          <w:sz w:val="22"/>
        </w:rPr>
      </w:pPr>
    </w:p>
    <w:p w:rsidR="00FB682D" w:rsidRPr="004963B1" w:rsidRDefault="00C717E1">
      <w:pPr>
        <w:ind w:left="-15"/>
        <w:rPr>
          <w:sz w:val="22"/>
        </w:rPr>
      </w:pPr>
      <w:r w:rsidRPr="004963B1">
        <w:rPr>
          <w:sz w:val="22"/>
        </w:rPr>
        <w:t>D</w:t>
      </w:r>
      <w:r w:rsidR="00F828DC" w:rsidRPr="004963B1">
        <w:rPr>
          <w:sz w:val="22"/>
        </w:rPr>
        <w:t xml:space="preserve">essa maneira não se pode deixar de citar que a Constituição Federal assegura o direito a água, que é essencial à vida e indispensável à saúde. Desta forma, a Administração busca com esta contratação amenizar o impacto que a falta de água vem causando no município. </w:t>
      </w:r>
    </w:p>
    <w:p w:rsidR="00FB682D" w:rsidRPr="004963B1" w:rsidRDefault="00F828DC">
      <w:pPr>
        <w:spacing w:after="0" w:line="259" w:lineRule="auto"/>
        <w:ind w:left="708" w:right="0" w:firstLine="0"/>
        <w:jc w:val="left"/>
        <w:rPr>
          <w:sz w:val="22"/>
        </w:rPr>
      </w:pPr>
      <w:r w:rsidRPr="004963B1">
        <w:rPr>
          <w:sz w:val="22"/>
        </w:rPr>
        <w:t xml:space="preserve"> </w:t>
      </w:r>
    </w:p>
    <w:p w:rsidR="00FB682D" w:rsidRPr="004963B1" w:rsidRDefault="00F828DC">
      <w:pPr>
        <w:ind w:left="-15"/>
        <w:rPr>
          <w:sz w:val="22"/>
        </w:rPr>
      </w:pPr>
      <w:r w:rsidRPr="004963B1">
        <w:rPr>
          <w:sz w:val="22"/>
        </w:rPr>
        <w:t xml:space="preserve">Ademais, a contratação direta, por dispensa, encontra respaldo no inciso IV do artigo 24 da Lei nº 8.666/93. Nesse sentido, cabe trazer à baila o entendimento do escritor </w:t>
      </w:r>
      <w:proofErr w:type="spellStart"/>
      <w:r w:rsidRPr="004963B1">
        <w:rPr>
          <w:sz w:val="22"/>
        </w:rPr>
        <w:t>Niebuhr</w:t>
      </w:r>
      <w:proofErr w:type="spellEnd"/>
      <w:r w:rsidRPr="004963B1">
        <w:rPr>
          <w:sz w:val="22"/>
        </w:rPr>
        <w:t xml:space="preserve"> (2003): </w:t>
      </w:r>
    </w:p>
    <w:p w:rsidR="00FB682D" w:rsidRPr="005B4D9C" w:rsidRDefault="00F828DC">
      <w:pPr>
        <w:spacing w:after="0" w:line="259" w:lineRule="auto"/>
        <w:ind w:left="708" w:right="0" w:firstLine="0"/>
        <w:jc w:val="left"/>
        <w:rPr>
          <w:sz w:val="22"/>
        </w:rPr>
      </w:pPr>
      <w:r w:rsidRPr="005B4D9C">
        <w:rPr>
          <w:sz w:val="22"/>
        </w:rPr>
        <w:t xml:space="preserve"> </w:t>
      </w:r>
    </w:p>
    <w:p w:rsidR="00C717E1" w:rsidRPr="005B4D9C" w:rsidRDefault="00F828DC" w:rsidP="00716558">
      <w:pPr>
        <w:spacing w:line="239" w:lineRule="auto"/>
        <w:ind w:left="2268" w:right="1" w:firstLine="0"/>
        <w:rPr>
          <w:sz w:val="22"/>
        </w:rPr>
      </w:pPr>
      <w:r w:rsidRPr="005B4D9C">
        <w:rPr>
          <w:sz w:val="22"/>
        </w:rPr>
        <w:t xml:space="preserve">A propósito, a redação dada ao inciso em comento é bastante clara ao autorizar a dispensa nos casos de emergência ou calamidade, </w:t>
      </w:r>
      <w:r w:rsidRPr="005B4D9C">
        <w:rPr>
          <w:i/>
          <w:sz w:val="22"/>
        </w:rPr>
        <w:t>quando caracterizada urgência de atendimento de situação que possa ocasionar prejuízo ou comprometer a segurança das pessoas, obras, serviços, equipamentos e outros bens públicos ou particulares</w:t>
      </w:r>
      <w:r w:rsidRPr="005B4D9C">
        <w:rPr>
          <w:sz w:val="22"/>
        </w:rPr>
        <w:t xml:space="preserve">. Dessa sorte, o que sobreleva na redação do inciso não é simplesmente a emergência ou a calamidade pública, mas a situação de </w:t>
      </w:r>
      <w:r w:rsidRPr="005B4D9C">
        <w:rPr>
          <w:i/>
          <w:sz w:val="22"/>
        </w:rPr>
        <w:t xml:space="preserve">urgência </w:t>
      </w:r>
      <w:r w:rsidRPr="005B4D9C">
        <w:rPr>
          <w:sz w:val="22"/>
        </w:rPr>
        <w:t xml:space="preserve">por elas provocada, que requerem a contratação imediata de determinado objeto, sem o qual o interesse público seria desatendido. (NIEBUHR, Joel de </w:t>
      </w:r>
      <w:r w:rsidRPr="005B4D9C">
        <w:rPr>
          <w:sz w:val="22"/>
        </w:rPr>
        <w:lastRenderedPageBreak/>
        <w:t xml:space="preserve">Menezes. </w:t>
      </w:r>
      <w:r w:rsidRPr="005B4D9C">
        <w:rPr>
          <w:i/>
          <w:sz w:val="22"/>
        </w:rPr>
        <w:t xml:space="preserve">Dispensa e Inexigibilidade de Licitação Pública. </w:t>
      </w:r>
      <w:r w:rsidRPr="005B4D9C">
        <w:rPr>
          <w:sz w:val="22"/>
        </w:rPr>
        <w:t xml:space="preserve">São Paulo: Dialética, 2003. p. 277). </w:t>
      </w:r>
    </w:p>
    <w:p w:rsidR="00FB682D" w:rsidRPr="005B4D9C" w:rsidRDefault="00F828DC">
      <w:pPr>
        <w:spacing w:line="239" w:lineRule="auto"/>
        <w:ind w:left="1697" w:right="1" w:hanging="10"/>
        <w:rPr>
          <w:sz w:val="22"/>
        </w:rPr>
      </w:pPr>
      <w:r w:rsidRPr="005B4D9C">
        <w:rPr>
          <w:sz w:val="22"/>
        </w:rPr>
        <w:t xml:space="preserve"> </w:t>
      </w:r>
    </w:p>
    <w:p w:rsidR="00FB682D" w:rsidRPr="005B4D9C" w:rsidRDefault="00F828DC">
      <w:pPr>
        <w:ind w:left="-15"/>
        <w:rPr>
          <w:sz w:val="22"/>
        </w:rPr>
      </w:pPr>
      <w:r w:rsidRPr="005B4D9C">
        <w:rPr>
          <w:sz w:val="22"/>
        </w:rPr>
        <w:t xml:space="preserve">Ainda, conforme entendimento do Tribunal de Contas da União, configurado o risco para pessoas, obras, serviços, bens e equipamentos públicos ou particulares, admite-se a contratação direta emergencial, vejamos: </w:t>
      </w:r>
    </w:p>
    <w:p w:rsidR="00FB682D" w:rsidRPr="005B4D9C" w:rsidRDefault="00F828DC">
      <w:pPr>
        <w:spacing w:after="0" w:line="259" w:lineRule="auto"/>
        <w:ind w:left="840" w:right="0" w:firstLine="0"/>
        <w:jc w:val="left"/>
        <w:rPr>
          <w:sz w:val="22"/>
        </w:rPr>
      </w:pPr>
      <w:r w:rsidRPr="005B4D9C">
        <w:rPr>
          <w:sz w:val="22"/>
        </w:rPr>
        <w:t xml:space="preserve"> </w:t>
      </w:r>
    </w:p>
    <w:p w:rsidR="00FB682D" w:rsidRPr="005B4D9C" w:rsidRDefault="00F828DC" w:rsidP="00716558">
      <w:pPr>
        <w:spacing w:line="239" w:lineRule="auto"/>
        <w:ind w:left="2268" w:right="1" w:hanging="10"/>
        <w:rPr>
          <w:sz w:val="22"/>
        </w:rPr>
      </w:pPr>
      <w:r w:rsidRPr="005B4D9C">
        <w:rPr>
          <w:sz w:val="22"/>
        </w:rPr>
        <w:t xml:space="preserve">“REPRESENTAÇÃO DE UNIDADE TÉCNICA. CONTRATAÇÃO FUNDAMENTADA EM SITUAÇÃO EMERGENCIAL. </w:t>
      </w:r>
    </w:p>
    <w:p w:rsidR="00FB682D" w:rsidRPr="005B4D9C" w:rsidRDefault="00F828DC" w:rsidP="00716558">
      <w:pPr>
        <w:spacing w:line="239" w:lineRule="auto"/>
        <w:ind w:left="2268" w:right="1" w:hanging="10"/>
        <w:rPr>
          <w:sz w:val="22"/>
        </w:rPr>
      </w:pPr>
      <w:r w:rsidRPr="005B4D9C">
        <w:rPr>
          <w:sz w:val="22"/>
        </w:rPr>
        <w:t xml:space="preserve">CONHECIMENTO. IMPROCEDÊNCIA. 1. A situação prevista no art. 24 IV, da Lei n 8.666/93 não distingue a emergência real, resultante do imprevisível, daquela resultante da incúria ou inércia administrativa, sendo cabível, em ambas as hipóteses, a contratação direta, desde que devidamente caracterizada a urgência de atendimento a situação que possa ocasionar prejuízo ou comprometer a segurança de pessoas, obras, serviços, equipamentos e outros bens, públicos ou particulares. 2. A incúria ou inércia administrativa caracteriza-se em relação ao comportamento individual de determinado agente público, não sendo possível </w:t>
      </w:r>
      <w:proofErr w:type="spellStart"/>
      <w:r w:rsidRPr="005B4D9C">
        <w:rPr>
          <w:sz w:val="22"/>
        </w:rPr>
        <w:t>falarse</w:t>
      </w:r>
      <w:proofErr w:type="spellEnd"/>
      <w:r w:rsidRPr="005B4D9C">
        <w:rPr>
          <w:sz w:val="22"/>
        </w:rPr>
        <w:t xml:space="preserve"> da existência de tais situações de forma genérica, sem individualização de </w:t>
      </w:r>
      <w:proofErr w:type="gramStart"/>
      <w:r w:rsidRPr="005B4D9C">
        <w:rPr>
          <w:sz w:val="22"/>
        </w:rPr>
        <w:t>culpas.”</w:t>
      </w:r>
      <w:proofErr w:type="gramEnd"/>
      <w:r w:rsidRPr="005B4D9C">
        <w:rPr>
          <w:sz w:val="22"/>
        </w:rPr>
        <w:t xml:space="preserve"> (TCU, TC 006.399/2008-2, Acórdão nº 1138/2011, Relator Min. UBIRATAN AGUIAR, Plenário, julgado em 04.05.2011</w:t>
      </w:r>
      <w:proofErr w:type="gramStart"/>
      <w:r w:rsidRPr="005B4D9C">
        <w:rPr>
          <w:sz w:val="22"/>
        </w:rPr>
        <w:t>).”</w:t>
      </w:r>
      <w:proofErr w:type="gramEnd"/>
      <w:r w:rsidRPr="005B4D9C">
        <w:rPr>
          <w:sz w:val="22"/>
        </w:rPr>
        <w:t xml:space="preserve"> </w:t>
      </w:r>
    </w:p>
    <w:p w:rsidR="00FB682D" w:rsidRPr="005B4D9C" w:rsidRDefault="00F828DC">
      <w:pPr>
        <w:spacing w:after="0" w:line="259" w:lineRule="auto"/>
        <w:ind w:left="1702" w:right="0" w:firstLine="0"/>
        <w:jc w:val="left"/>
        <w:rPr>
          <w:sz w:val="22"/>
        </w:rPr>
      </w:pPr>
      <w:r w:rsidRPr="005B4D9C">
        <w:rPr>
          <w:sz w:val="22"/>
        </w:rPr>
        <w:t xml:space="preserve"> </w:t>
      </w:r>
    </w:p>
    <w:p w:rsidR="00FB682D" w:rsidRDefault="00F828DC">
      <w:pPr>
        <w:ind w:left="-15"/>
        <w:rPr>
          <w:sz w:val="22"/>
        </w:rPr>
      </w:pPr>
      <w:r w:rsidRPr="005B4D9C">
        <w:rPr>
          <w:sz w:val="22"/>
        </w:rPr>
        <w:t xml:space="preserve">Portanto, justifica-se o presente processo de dispensa, pois é visto que: </w:t>
      </w:r>
    </w:p>
    <w:p w:rsidR="00065130" w:rsidRPr="005B4D9C" w:rsidRDefault="00065130">
      <w:pPr>
        <w:ind w:left="-15"/>
        <w:rPr>
          <w:sz w:val="22"/>
        </w:rPr>
      </w:pPr>
    </w:p>
    <w:p w:rsidR="00FB682D" w:rsidRPr="005B4D9C" w:rsidRDefault="00F828DC">
      <w:pPr>
        <w:numPr>
          <w:ilvl w:val="0"/>
          <w:numId w:val="2"/>
        </w:numPr>
        <w:rPr>
          <w:sz w:val="22"/>
        </w:rPr>
      </w:pPr>
      <w:r w:rsidRPr="005B4D9C">
        <w:rPr>
          <w:sz w:val="22"/>
        </w:rPr>
        <w:t xml:space="preserve">A situação adversa, dada como de emergência ou calamidade pública não se originou, total ou parcialmente, da falta de planejamento, da desídia administrativa ou da má gestão de recursos disponíveis, ou seja, que ela não possa em alguma medida, ser atribuída à culpa ou dolo do agente público que tinha o dever de agir para prevenir a ocorrência de tal situação. Sendo assim, a imediata efetivação, por meio de contratação de terceiros, no momento é o meio mais adequado, efetivo e eficiente de afastar os riscos iminentes detectados; </w:t>
      </w:r>
    </w:p>
    <w:p w:rsidR="00FB682D" w:rsidRPr="005B4D9C" w:rsidRDefault="00F828DC">
      <w:pPr>
        <w:numPr>
          <w:ilvl w:val="0"/>
          <w:numId w:val="2"/>
        </w:numPr>
        <w:rPr>
          <w:sz w:val="22"/>
        </w:rPr>
      </w:pPr>
      <w:r w:rsidRPr="005B4D9C">
        <w:rPr>
          <w:sz w:val="22"/>
        </w:rPr>
        <w:t xml:space="preserve">Diante do exposto considerando o estado de emergência devidamente decretado, faz-se necessário a contratação dos serviços, objeto desta dispensa, para que os munícipes possam dispor de água, visando atender a demanda e amenizar os prejuízos na área urbana e rural, e, sobretudo, garantir o direito fundamental à vida. </w:t>
      </w:r>
    </w:p>
    <w:p w:rsidR="00FB682D" w:rsidRPr="005B4D9C" w:rsidRDefault="00F828DC">
      <w:pPr>
        <w:spacing w:after="0" w:line="259" w:lineRule="auto"/>
        <w:ind w:left="708" w:right="0" w:firstLine="0"/>
        <w:jc w:val="left"/>
        <w:rPr>
          <w:sz w:val="22"/>
        </w:rPr>
      </w:pPr>
      <w:r w:rsidRPr="005B4D9C">
        <w:rPr>
          <w:sz w:val="22"/>
        </w:rPr>
        <w:t xml:space="preserve"> </w:t>
      </w:r>
    </w:p>
    <w:p w:rsidR="00FB682D" w:rsidRDefault="00F828DC">
      <w:pPr>
        <w:pStyle w:val="Ttulo1"/>
        <w:ind w:left="338" w:right="0" w:hanging="353"/>
        <w:rPr>
          <w:b w:val="0"/>
          <w:sz w:val="22"/>
        </w:rPr>
      </w:pPr>
      <w:r w:rsidRPr="005B4D9C">
        <w:rPr>
          <w:sz w:val="22"/>
        </w:rPr>
        <w:t>- DA ESCOLHA DO FORNECEDOR OU EXECUTANTE</w:t>
      </w:r>
      <w:r w:rsidRPr="005B4D9C">
        <w:rPr>
          <w:b w:val="0"/>
          <w:sz w:val="22"/>
        </w:rPr>
        <w:t xml:space="preserve"> </w:t>
      </w:r>
    </w:p>
    <w:p w:rsidR="0065531E" w:rsidRPr="0065531E" w:rsidRDefault="0065531E" w:rsidP="0065531E"/>
    <w:p w:rsidR="00FB682D" w:rsidRPr="005B4D9C" w:rsidRDefault="00F828DC">
      <w:pPr>
        <w:ind w:left="-15" w:firstLine="0"/>
        <w:rPr>
          <w:sz w:val="22"/>
        </w:rPr>
      </w:pPr>
      <w:r w:rsidRPr="005B4D9C">
        <w:rPr>
          <w:sz w:val="22"/>
        </w:rPr>
        <w:t xml:space="preserve">  A profissional escolhida para sacramentar a contratação do objeto pretendido foi:  </w:t>
      </w:r>
    </w:p>
    <w:p w:rsidR="00FB682D" w:rsidRPr="005B4D9C" w:rsidRDefault="00F828DC">
      <w:pPr>
        <w:ind w:left="-15" w:firstLine="0"/>
        <w:rPr>
          <w:sz w:val="22"/>
        </w:rPr>
      </w:pPr>
      <w:r w:rsidRPr="005B4D9C">
        <w:rPr>
          <w:sz w:val="22"/>
        </w:rPr>
        <w:t xml:space="preserve"> ● </w:t>
      </w:r>
      <w:r w:rsidR="00F42AD9">
        <w:rPr>
          <w:b/>
          <w:sz w:val="22"/>
        </w:rPr>
        <w:t>OJN TRANSPORTES E SERVIÇOS LTDA</w:t>
      </w:r>
      <w:r w:rsidRPr="005B4D9C">
        <w:rPr>
          <w:b/>
          <w:sz w:val="22"/>
        </w:rPr>
        <w:t>:</w:t>
      </w:r>
      <w:r w:rsidRPr="005B4D9C">
        <w:rPr>
          <w:sz w:val="22"/>
        </w:rPr>
        <w:t xml:space="preserve"> CNPJ: </w:t>
      </w:r>
      <w:r w:rsidR="00F42AD9">
        <w:rPr>
          <w:sz w:val="22"/>
        </w:rPr>
        <w:t>30.397.854/0001-14</w:t>
      </w:r>
      <w:r w:rsidRPr="005B4D9C">
        <w:rPr>
          <w:sz w:val="22"/>
        </w:rPr>
        <w:t xml:space="preserve">, com sede na </w:t>
      </w:r>
      <w:r w:rsidR="00F42AD9">
        <w:rPr>
          <w:sz w:val="22"/>
        </w:rPr>
        <w:t>Linha Dal Santo</w:t>
      </w:r>
      <w:r w:rsidR="00826CC9" w:rsidRPr="005B4D9C">
        <w:rPr>
          <w:sz w:val="22"/>
        </w:rPr>
        <w:t xml:space="preserve">, s/n, </w:t>
      </w:r>
      <w:r w:rsidR="00F42AD9">
        <w:rPr>
          <w:sz w:val="22"/>
        </w:rPr>
        <w:t>Interior</w:t>
      </w:r>
      <w:r w:rsidR="00826CC9" w:rsidRPr="005B4D9C">
        <w:rPr>
          <w:sz w:val="22"/>
        </w:rPr>
        <w:t xml:space="preserve">, </w:t>
      </w:r>
      <w:r w:rsidR="00F42AD9">
        <w:rPr>
          <w:sz w:val="22"/>
        </w:rPr>
        <w:t>Cordilheira Alta</w:t>
      </w:r>
      <w:r w:rsidR="00826CC9" w:rsidRPr="005B4D9C">
        <w:rPr>
          <w:sz w:val="22"/>
        </w:rPr>
        <w:t xml:space="preserve">/SC CEP </w:t>
      </w:r>
      <w:r w:rsidR="00F42AD9">
        <w:rPr>
          <w:sz w:val="22"/>
        </w:rPr>
        <w:t>89.819-000</w:t>
      </w:r>
      <w:r w:rsidRPr="005B4D9C">
        <w:rPr>
          <w:sz w:val="22"/>
        </w:rPr>
        <w:t xml:space="preserve">. </w:t>
      </w:r>
    </w:p>
    <w:p w:rsidR="00251B4C" w:rsidRPr="005B4D9C" w:rsidRDefault="00251B4C">
      <w:pPr>
        <w:ind w:left="-15" w:firstLine="0"/>
        <w:rPr>
          <w:sz w:val="22"/>
        </w:rPr>
      </w:pPr>
    </w:p>
    <w:p w:rsidR="0065531E" w:rsidRDefault="00F828DC">
      <w:pPr>
        <w:pStyle w:val="Ttulo1"/>
        <w:ind w:left="242" w:right="0" w:hanging="257"/>
        <w:rPr>
          <w:sz w:val="22"/>
        </w:rPr>
      </w:pPr>
      <w:r w:rsidRPr="005B4D9C">
        <w:rPr>
          <w:i/>
          <w:sz w:val="22"/>
        </w:rPr>
        <w:lastRenderedPageBreak/>
        <w:t xml:space="preserve">– </w:t>
      </w:r>
      <w:r w:rsidRPr="005B4D9C">
        <w:rPr>
          <w:sz w:val="22"/>
        </w:rPr>
        <w:t>DA RAZÃO DA ESCOLHA DO FORNECEDOR OU EXECUTANTE</w:t>
      </w:r>
    </w:p>
    <w:p w:rsidR="00FB682D" w:rsidRPr="005B4D9C" w:rsidRDefault="00FB682D" w:rsidP="0065531E">
      <w:pPr>
        <w:pStyle w:val="Ttulo1"/>
        <w:numPr>
          <w:ilvl w:val="0"/>
          <w:numId w:val="0"/>
        </w:numPr>
        <w:ind w:left="242" w:right="0"/>
        <w:rPr>
          <w:sz w:val="22"/>
        </w:rPr>
      </w:pPr>
    </w:p>
    <w:p w:rsidR="00FB682D" w:rsidRPr="005B4D9C" w:rsidRDefault="00F828DC">
      <w:pPr>
        <w:ind w:left="-15"/>
        <w:rPr>
          <w:sz w:val="22"/>
        </w:rPr>
      </w:pPr>
      <w:r w:rsidRPr="005B4D9C">
        <w:rPr>
          <w:sz w:val="22"/>
        </w:rPr>
        <w:t xml:space="preserve">Em análise aos presentes autos, foram realizadas pesquisas de preços junto a três empresas da região, tendo a empresa escolhida apresentado o menor preço compatível com os atualmente praticados. </w:t>
      </w:r>
    </w:p>
    <w:p w:rsidR="00FB682D" w:rsidRPr="005B4D9C" w:rsidRDefault="00F828DC">
      <w:pPr>
        <w:ind w:left="-15"/>
        <w:rPr>
          <w:sz w:val="22"/>
        </w:rPr>
      </w:pPr>
      <w:r w:rsidRPr="005B4D9C">
        <w:rPr>
          <w:sz w:val="22"/>
        </w:rPr>
        <w:t xml:space="preserve">A Contratação da empresa supracitada é compatível e não apresenta diferença que venha a influenciar na escolha, ficando está vinculada apenas à verificação do critério do menor preço. </w:t>
      </w:r>
    </w:p>
    <w:p w:rsidR="00FB682D" w:rsidRPr="005B4D9C" w:rsidRDefault="00F828DC">
      <w:pPr>
        <w:spacing w:after="0" w:line="259" w:lineRule="auto"/>
        <w:ind w:left="708" w:right="0" w:firstLine="0"/>
        <w:jc w:val="left"/>
        <w:rPr>
          <w:sz w:val="22"/>
        </w:rPr>
      </w:pPr>
      <w:r w:rsidRPr="005B4D9C">
        <w:rPr>
          <w:sz w:val="22"/>
        </w:rPr>
        <w:t xml:space="preserve"> </w:t>
      </w:r>
    </w:p>
    <w:p w:rsidR="00FB682D" w:rsidRDefault="00F828DC">
      <w:pPr>
        <w:pStyle w:val="Ttulo1"/>
        <w:ind w:left="338" w:right="0" w:hanging="353"/>
        <w:rPr>
          <w:sz w:val="22"/>
        </w:rPr>
      </w:pPr>
      <w:r w:rsidRPr="005B4D9C">
        <w:rPr>
          <w:sz w:val="22"/>
        </w:rPr>
        <w:t xml:space="preserve">- DA JUSTIFICATIVA DO PREÇO </w:t>
      </w:r>
    </w:p>
    <w:p w:rsidR="0065531E" w:rsidRPr="0065531E" w:rsidRDefault="0065531E" w:rsidP="0065531E"/>
    <w:p w:rsidR="00FB682D" w:rsidRPr="005B4D9C" w:rsidRDefault="00F828DC" w:rsidP="009023BF">
      <w:pPr>
        <w:ind w:left="-15" w:firstLine="353"/>
        <w:rPr>
          <w:sz w:val="22"/>
        </w:rPr>
      </w:pPr>
      <w:r w:rsidRPr="005B4D9C">
        <w:rPr>
          <w:sz w:val="22"/>
        </w:rPr>
        <w:t xml:space="preserve">O critério do menor preço deve presidir a escolha do adjudicatário direto como regra geral, e o meio de aferi-lo está em juntar aos autos do respectivo processo pelo menos 03 (três) propostas. </w:t>
      </w:r>
    </w:p>
    <w:p w:rsidR="00FB682D" w:rsidRPr="005B4D9C" w:rsidRDefault="00F828DC">
      <w:pPr>
        <w:ind w:left="-15" w:firstLine="0"/>
        <w:rPr>
          <w:sz w:val="22"/>
        </w:rPr>
      </w:pPr>
      <w:r w:rsidRPr="005B4D9C">
        <w:rPr>
          <w:sz w:val="22"/>
        </w:rPr>
        <w:t xml:space="preserve">No caso em questão verificamos a presença de três propostas, sendo escolhida a de menor valor. </w:t>
      </w:r>
    </w:p>
    <w:p w:rsidR="00FB682D" w:rsidRPr="005B4D9C" w:rsidRDefault="00F828DC">
      <w:pPr>
        <w:spacing w:after="0" w:line="259" w:lineRule="auto"/>
        <w:ind w:right="0" w:firstLine="0"/>
        <w:jc w:val="left"/>
        <w:rPr>
          <w:sz w:val="22"/>
        </w:rPr>
      </w:pPr>
      <w:r w:rsidRPr="005B4D9C">
        <w:rPr>
          <w:sz w:val="22"/>
        </w:rPr>
        <w:t xml:space="preserve"> </w:t>
      </w:r>
    </w:p>
    <w:p w:rsidR="009023BF" w:rsidRDefault="009023BF" w:rsidP="009023BF">
      <w:pPr>
        <w:tabs>
          <w:tab w:val="left" w:pos="0"/>
        </w:tabs>
        <w:overflowPunct w:val="0"/>
        <w:autoSpaceDE w:val="0"/>
        <w:autoSpaceDN w:val="0"/>
        <w:adjustRightInd w:val="0"/>
        <w:ind w:right="-12" w:firstLine="0"/>
        <w:rPr>
          <w:b/>
          <w:sz w:val="22"/>
        </w:rPr>
      </w:pPr>
      <w:r w:rsidRPr="005B4D9C">
        <w:rPr>
          <w:b/>
          <w:sz w:val="22"/>
        </w:rPr>
        <w:t>VI- DO PAGAMENTO E DA RUBRICA ORÇAMENTÁRIA</w:t>
      </w:r>
    </w:p>
    <w:p w:rsidR="0065531E" w:rsidRPr="005B4D9C" w:rsidRDefault="0065531E" w:rsidP="009023BF">
      <w:pPr>
        <w:tabs>
          <w:tab w:val="left" w:pos="0"/>
        </w:tabs>
        <w:overflowPunct w:val="0"/>
        <w:autoSpaceDE w:val="0"/>
        <w:autoSpaceDN w:val="0"/>
        <w:adjustRightInd w:val="0"/>
        <w:ind w:right="-12" w:firstLine="0"/>
        <w:rPr>
          <w:b/>
          <w:sz w:val="22"/>
        </w:rPr>
      </w:pPr>
    </w:p>
    <w:p w:rsidR="009023BF" w:rsidRPr="005B4D9C" w:rsidRDefault="009023BF" w:rsidP="009023BF">
      <w:pPr>
        <w:tabs>
          <w:tab w:val="left" w:pos="0"/>
        </w:tabs>
        <w:overflowPunct w:val="0"/>
        <w:autoSpaceDE w:val="0"/>
        <w:autoSpaceDN w:val="0"/>
        <w:adjustRightInd w:val="0"/>
        <w:ind w:right="-12" w:firstLine="0"/>
        <w:rPr>
          <w:sz w:val="22"/>
        </w:rPr>
      </w:pPr>
      <w:r w:rsidRPr="005B4D9C">
        <w:rPr>
          <w:sz w:val="22"/>
        </w:rPr>
        <w:tab/>
        <w:t xml:space="preserve">O Município pagará pelo Objeto contratado, o valor global estimado de R$ </w:t>
      </w:r>
      <w:r w:rsidR="00C339C1">
        <w:rPr>
          <w:sz w:val="22"/>
        </w:rPr>
        <w:t>76.800,00</w:t>
      </w:r>
      <w:r w:rsidRPr="005B4D9C">
        <w:rPr>
          <w:sz w:val="22"/>
        </w:rPr>
        <w:t xml:space="preserve"> (</w:t>
      </w:r>
      <w:r w:rsidR="00C339C1">
        <w:rPr>
          <w:sz w:val="22"/>
        </w:rPr>
        <w:t>setenta e seis mil e oitocentos</w:t>
      </w:r>
      <w:r w:rsidR="005669FF">
        <w:rPr>
          <w:sz w:val="22"/>
        </w:rPr>
        <w:t xml:space="preserve"> reais</w:t>
      </w:r>
      <w:r w:rsidRPr="005B4D9C">
        <w:rPr>
          <w:sz w:val="22"/>
        </w:rPr>
        <w:t xml:space="preserve">). </w:t>
      </w:r>
    </w:p>
    <w:p w:rsidR="00FB682D" w:rsidRPr="005B4D9C" w:rsidRDefault="00F828DC" w:rsidP="009023BF">
      <w:pPr>
        <w:ind w:firstLine="0"/>
        <w:rPr>
          <w:color w:val="auto"/>
          <w:sz w:val="22"/>
        </w:rPr>
      </w:pPr>
      <w:r w:rsidRPr="005B4D9C">
        <w:rPr>
          <w:sz w:val="22"/>
        </w:rPr>
        <w:t xml:space="preserve"> As despesas decorrentes desta dispensa de licitação correrão a cargo da seguinte dotação: Projeto Atividade 2.084</w:t>
      </w:r>
      <w:r w:rsidR="00C339C1">
        <w:rPr>
          <w:sz w:val="22"/>
        </w:rPr>
        <w:t xml:space="preserve"> e 2.062</w:t>
      </w:r>
      <w:r w:rsidR="00F42AD9">
        <w:rPr>
          <w:sz w:val="22"/>
        </w:rPr>
        <w:t xml:space="preserve"> </w:t>
      </w:r>
      <w:r w:rsidRPr="005B4D9C">
        <w:rPr>
          <w:sz w:val="22"/>
        </w:rPr>
        <w:t xml:space="preserve">– Elemento 3.3.90 - prevista na Lei Orçamentária do </w:t>
      </w:r>
      <w:r w:rsidRPr="005B4D9C">
        <w:rPr>
          <w:color w:val="auto"/>
          <w:sz w:val="22"/>
        </w:rPr>
        <w:t>Exercício de 202</w:t>
      </w:r>
      <w:r w:rsidR="00C717E1" w:rsidRPr="005B4D9C">
        <w:rPr>
          <w:color w:val="auto"/>
          <w:sz w:val="22"/>
        </w:rPr>
        <w:t>1</w:t>
      </w:r>
      <w:r w:rsidRPr="005B4D9C">
        <w:rPr>
          <w:color w:val="auto"/>
          <w:sz w:val="22"/>
        </w:rPr>
        <w:t xml:space="preserve">. </w:t>
      </w:r>
    </w:p>
    <w:p w:rsidR="00FB682D" w:rsidRPr="005B4D9C" w:rsidRDefault="00F828DC">
      <w:pPr>
        <w:spacing w:after="0" w:line="259" w:lineRule="auto"/>
        <w:ind w:right="0" w:firstLine="0"/>
        <w:jc w:val="left"/>
        <w:rPr>
          <w:color w:val="auto"/>
          <w:sz w:val="22"/>
        </w:rPr>
      </w:pPr>
      <w:r w:rsidRPr="005B4D9C">
        <w:rPr>
          <w:color w:val="auto"/>
          <w:sz w:val="22"/>
        </w:rPr>
        <w:t xml:space="preserve"> </w:t>
      </w:r>
    </w:p>
    <w:p w:rsidR="00FB682D" w:rsidRDefault="009023BF" w:rsidP="009023BF">
      <w:pPr>
        <w:pStyle w:val="Ttulo1"/>
        <w:numPr>
          <w:ilvl w:val="0"/>
          <w:numId w:val="0"/>
        </w:numPr>
        <w:ind w:left="10" w:right="0" w:hanging="10"/>
        <w:rPr>
          <w:color w:val="auto"/>
          <w:sz w:val="22"/>
        </w:rPr>
      </w:pPr>
      <w:r w:rsidRPr="005B4D9C">
        <w:rPr>
          <w:color w:val="auto"/>
          <w:sz w:val="22"/>
        </w:rPr>
        <w:t>VIII-</w:t>
      </w:r>
      <w:r w:rsidR="00F828DC" w:rsidRPr="005B4D9C">
        <w:rPr>
          <w:color w:val="auto"/>
          <w:sz w:val="22"/>
        </w:rPr>
        <w:t xml:space="preserve"> DA REGULARIDADE FISCAL </w:t>
      </w:r>
    </w:p>
    <w:p w:rsidR="0065531E" w:rsidRPr="0065531E" w:rsidRDefault="0065531E" w:rsidP="0065531E"/>
    <w:p w:rsidR="00FB682D" w:rsidRPr="009361B2" w:rsidRDefault="00F828DC">
      <w:pPr>
        <w:numPr>
          <w:ilvl w:val="0"/>
          <w:numId w:val="3"/>
        </w:numPr>
        <w:ind w:firstLine="0"/>
        <w:rPr>
          <w:color w:val="auto"/>
          <w:sz w:val="22"/>
        </w:rPr>
      </w:pPr>
      <w:r w:rsidRPr="005B4D9C">
        <w:rPr>
          <w:color w:val="auto"/>
          <w:sz w:val="22"/>
        </w:rPr>
        <w:t xml:space="preserve">- </w:t>
      </w:r>
      <w:r w:rsidRPr="009361B2">
        <w:rPr>
          <w:color w:val="auto"/>
          <w:sz w:val="22"/>
        </w:rPr>
        <w:t xml:space="preserve">Prova de regularidade para com a Fazenda Federal compreendendo os Tributos administrativos pela Secretaria da Receita Federal, com validade para o dia </w:t>
      </w:r>
      <w:r w:rsidR="009361B2" w:rsidRPr="009361B2">
        <w:rPr>
          <w:color w:val="auto"/>
          <w:sz w:val="22"/>
        </w:rPr>
        <w:t>09/11</w:t>
      </w:r>
      <w:r w:rsidRPr="009361B2">
        <w:rPr>
          <w:color w:val="auto"/>
          <w:sz w:val="22"/>
        </w:rPr>
        <w:t xml:space="preserve">/2021. </w:t>
      </w:r>
    </w:p>
    <w:p w:rsidR="00FB682D" w:rsidRPr="009361B2" w:rsidRDefault="00F828DC">
      <w:pPr>
        <w:numPr>
          <w:ilvl w:val="0"/>
          <w:numId w:val="3"/>
        </w:numPr>
        <w:ind w:firstLine="0"/>
        <w:rPr>
          <w:color w:val="auto"/>
          <w:sz w:val="22"/>
        </w:rPr>
      </w:pPr>
      <w:r w:rsidRPr="009361B2">
        <w:rPr>
          <w:color w:val="auto"/>
          <w:sz w:val="22"/>
        </w:rPr>
        <w:t xml:space="preserve">– Prova de regularidade fiscal para com a fazenda Estadual do domicilio ou sede da licitante, expedida pelo órgão competente, com validade para o dia </w:t>
      </w:r>
      <w:r w:rsidR="009361B2" w:rsidRPr="009361B2">
        <w:rPr>
          <w:color w:val="auto"/>
          <w:sz w:val="22"/>
        </w:rPr>
        <w:t>04/07</w:t>
      </w:r>
      <w:r w:rsidR="005F0649" w:rsidRPr="009361B2">
        <w:rPr>
          <w:color w:val="auto"/>
          <w:sz w:val="22"/>
        </w:rPr>
        <w:t>/</w:t>
      </w:r>
      <w:r w:rsidRPr="009361B2">
        <w:rPr>
          <w:color w:val="auto"/>
          <w:sz w:val="22"/>
        </w:rPr>
        <w:t>202</w:t>
      </w:r>
      <w:r w:rsidR="00C22DE6" w:rsidRPr="009361B2">
        <w:rPr>
          <w:color w:val="auto"/>
          <w:sz w:val="22"/>
        </w:rPr>
        <w:t>1</w:t>
      </w:r>
      <w:r w:rsidRPr="009361B2">
        <w:rPr>
          <w:color w:val="auto"/>
          <w:sz w:val="22"/>
        </w:rPr>
        <w:t xml:space="preserve">. </w:t>
      </w:r>
    </w:p>
    <w:p w:rsidR="00FB682D" w:rsidRPr="009361B2" w:rsidRDefault="00F828DC">
      <w:pPr>
        <w:numPr>
          <w:ilvl w:val="0"/>
          <w:numId w:val="3"/>
        </w:numPr>
        <w:ind w:firstLine="0"/>
        <w:rPr>
          <w:color w:val="auto"/>
          <w:sz w:val="22"/>
        </w:rPr>
      </w:pPr>
      <w:r w:rsidRPr="009361B2">
        <w:rPr>
          <w:color w:val="auto"/>
          <w:sz w:val="22"/>
        </w:rPr>
        <w:t xml:space="preserve">- Prova de regularidade perante a Fazenda Municipal, comprovado com Certidão Negativa de Débito, com validade para o dia </w:t>
      </w:r>
      <w:r w:rsidR="009361B2" w:rsidRPr="009361B2">
        <w:rPr>
          <w:color w:val="auto"/>
          <w:sz w:val="22"/>
        </w:rPr>
        <w:t>09/11</w:t>
      </w:r>
      <w:r w:rsidRPr="009361B2">
        <w:rPr>
          <w:color w:val="auto"/>
          <w:sz w:val="22"/>
        </w:rPr>
        <w:t xml:space="preserve">/2021. </w:t>
      </w:r>
    </w:p>
    <w:p w:rsidR="00FB682D" w:rsidRPr="009361B2" w:rsidRDefault="00F828DC">
      <w:pPr>
        <w:numPr>
          <w:ilvl w:val="0"/>
          <w:numId w:val="3"/>
        </w:numPr>
        <w:ind w:firstLine="0"/>
        <w:rPr>
          <w:color w:val="auto"/>
          <w:sz w:val="22"/>
        </w:rPr>
      </w:pPr>
      <w:r w:rsidRPr="009361B2">
        <w:rPr>
          <w:color w:val="auto"/>
          <w:sz w:val="22"/>
        </w:rPr>
        <w:t xml:space="preserve">– Prova de regularidade perante a Justiça do trabalho, comprovado com Certidão Negativa de Débito expedida com validade para o dia </w:t>
      </w:r>
      <w:r w:rsidR="009361B2" w:rsidRPr="009361B2">
        <w:rPr>
          <w:color w:val="auto"/>
          <w:sz w:val="22"/>
        </w:rPr>
        <w:t>08/11</w:t>
      </w:r>
      <w:r w:rsidRPr="009361B2">
        <w:rPr>
          <w:color w:val="auto"/>
          <w:sz w:val="22"/>
        </w:rPr>
        <w:t xml:space="preserve">/2021. </w:t>
      </w:r>
    </w:p>
    <w:p w:rsidR="00FB682D" w:rsidRPr="009361B2" w:rsidRDefault="00F828DC">
      <w:pPr>
        <w:numPr>
          <w:ilvl w:val="0"/>
          <w:numId w:val="3"/>
        </w:numPr>
        <w:ind w:firstLine="0"/>
        <w:rPr>
          <w:color w:val="auto"/>
          <w:sz w:val="22"/>
        </w:rPr>
      </w:pPr>
      <w:r w:rsidRPr="009361B2">
        <w:rPr>
          <w:color w:val="auto"/>
          <w:sz w:val="22"/>
        </w:rPr>
        <w:t xml:space="preserve">- Prova de regularidade perante o FGTS, comprovado com Certidão Negativa de Débito com validade para o dia </w:t>
      </w:r>
      <w:r w:rsidR="009361B2" w:rsidRPr="009361B2">
        <w:rPr>
          <w:color w:val="auto"/>
          <w:sz w:val="22"/>
        </w:rPr>
        <w:t>09/08</w:t>
      </w:r>
      <w:r w:rsidR="005F0649" w:rsidRPr="009361B2">
        <w:rPr>
          <w:color w:val="auto"/>
          <w:sz w:val="22"/>
        </w:rPr>
        <w:t>/2021</w:t>
      </w:r>
      <w:r w:rsidRPr="009361B2">
        <w:rPr>
          <w:color w:val="auto"/>
          <w:sz w:val="22"/>
        </w:rPr>
        <w:t xml:space="preserve">. </w:t>
      </w:r>
    </w:p>
    <w:p w:rsidR="00251B4C" w:rsidRPr="005B4D9C" w:rsidRDefault="00251B4C">
      <w:pPr>
        <w:numPr>
          <w:ilvl w:val="0"/>
          <w:numId w:val="3"/>
        </w:numPr>
        <w:ind w:firstLine="0"/>
        <w:rPr>
          <w:color w:val="auto"/>
          <w:sz w:val="22"/>
        </w:rPr>
      </w:pPr>
      <w:r w:rsidRPr="009361B2">
        <w:rPr>
          <w:color w:val="auto"/>
          <w:sz w:val="22"/>
        </w:rPr>
        <w:t xml:space="preserve">– </w:t>
      </w:r>
      <w:r w:rsidR="00F42AD9" w:rsidRPr="009361B2">
        <w:rPr>
          <w:color w:val="auto"/>
          <w:sz w:val="22"/>
        </w:rPr>
        <w:t>Justificativa da Secretaria da Agricultura, Indústria e Comércio</w:t>
      </w:r>
      <w:r w:rsidR="00F42AD9">
        <w:rPr>
          <w:color w:val="auto"/>
          <w:sz w:val="22"/>
        </w:rPr>
        <w:t>.</w:t>
      </w:r>
    </w:p>
    <w:p w:rsidR="00251B4C" w:rsidRPr="005B4D9C" w:rsidRDefault="00251B4C">
      <w:pPr>
        <w:numPr>
          <w:ilvl w:val="0"/>
          <w:numId w:val="3"/>
        </w:numPr>
        <w:ind w:firstLine="0"/>
        <w:rPr>
          <w:color w:val="auto"/>
          <w:sz w:val="22"/>
        </w:rPr>
      </w:pPr>
      <w:r w:rsidRPr="005B4D9C">
        <w:rPr>
          <w:color w:val="auto"/>
          <w:sz w:val="22"/>
        </w:rPr>
        <w:t>– Just</w:t>
      </w:r>
      <w:r w:rsidR="00F42AD9">
        <w:rPr>
          <w:color w:val="auto"/>
          <w:sz w:val="22"/>
        </w:rPr>
        <w:t>ificativa da Secretaria de Água e Saneamento.</w:t>
      </w:r>
    </w:p>
    <w:p w:rsidR="00251B4C" w:rsidRDefault="00251B4C">
      <w:pPr>
        <w:numPr>
          <w:ilvl w:val="0"/>
          <w:numId w:val="3"/>
        </w:numPr>
        <w:ind w:firstLine="0"/>
        <w:rPr>
          <w:color w:val="auto"/>
          <w:sz w:val="22"/>
        </w:rPr>
      </w:pPr>
      <w:r w:rsidRPr="005B4D9C">
        <w:rPr>
          <w:color w:val="auto"/>
          <w:sz w:val="22"/>
        </w:rPr>
        <w:t>- Orçamentos.</w:t>
      </w:r>
    </w:p>
    <w:p w:rsidR="009361B2" w:rsidRDefault="009361B2" w:rsidP="009361B2">
      <w:pPr>
        <w:ind w:firstLine="0"/>
        <w:rPr>
          <w:color w:val="auto"/>
          <w:sz w:val="22"/>
        </w:rPr>
      </w:pPr>
    </w:p>
    <w:p w:rsidR="009361B2" w:rsidRDefault="009361B2" w:rsidP="009361B2">
      <w:pPr>
        <w:pStyle w:val="Ttulo1"/>
        <w:numPr>
          <w:ilvl w:val="0"/>
          <w:numId w:val="0"/>
        </w:numPr>
        <w:spacing w:after="5" w:line="249" w:lineRule="auto"/>
        <w:ind w:left="-5" w:right="0"/>
        <w:rPr>
          <w:sz w:val="21"/>
          <w:szCs w:val="21"/>
        </w:rPr>
      </w:pPr>
      <w:r>
        <w:rPr>
          <w:sz w:val="21"/>
          <w:szCs w:val="21"/>
        </w:rPr>
        <w:t xml:space="preserve">IX - DA </w:t>
      </w:r>
      <w:r w:rsidRPr="0087603E">
        <w:rPr>
          <w:sz w:val="21"/>
          <w:szCs w:val="21"/>
        </w:rPr>
        <w:t>QUALIFICAÇÃO ECONÔMICO-FINANCEIRA</w:t>
      </w:r>
    </w:p>
    <w:p w:rsidR="009361B2" w:rsidRDefault="009361B2" w:rsidP="009361B2"/>
    <w:p w:rsidR="009361B2" w:rsidRDefault="009361B2" w:rsidP="009361B2">
      <w:r>
        <w:t xml:space="preserve">I – Certidão de Falência, Concordata e recuperação Judicial emitida pelo </w:t>
      </w:r>
      <w:proofErr w:type="spellStart"/>
      <w:r>
        <w:t>eproc</w:t>
      </w:r>
      <w:proofErr w:type="spellEnd"/>
      <w:r>
        <w:t>, com validade 12/07/2021</w:t>
      </w:r>
    </w:p>
    <w:p w:rsidR="009361B2" w:rsidRDefault="009361B2" w:rsidP="009361B2">
      <w:r>
        <w:t xml:space="preserve">II –Certidão de Falência, Concordata e recuperação Judicial emitida pelo </w:t>
      </w:r>
      <w:proofErr w:type="spellStart"/>
      <w:r>
        <w:t>saj</w:t>
      </w:r>
      <w:proofErr w:type="spellEnd"/>
      <w:r>
        <w:t>, com validade 12/07/2021</w:t>
      </w:r>
    </w:p>
    <w:p w:rsidR="009361B2" w:rsidRPr="005B4D9C" w:rsidRDefault="009361B2" w:rsidP="009361B2">
      <w:pPr>
        <w:ind w:firstLine="0"/>
        <w:rPr>
          <w:color w:val="auto"/>
          <w:sz w:val="22"/>
        </w:rPr>
      </w:pPr>
    </w:p>
    <w:p w:rsidR="005B4D9C" w:rsidRDefault="005B4D9C" w:rsidP="009023BF">
      <w:pPr>
        <w:pStyle w:val="Ttulo1"/>
        <w:numPr>
          <w:ilvl w:val="0"/>
          <w:numId w:val="0"/>
        </w:numPr>
        <w:ind w:left="10" w:right="0" w:hanging="10"/>
        <w:rPr>
          <w:sz w:val="22"/>
        </w:rPr>
      </w:pPr>
    </w:p>
    <w:p w:rsidR="00FB682D" w:rsidRDefault="009023BF" w:rsidP="009023BF">
      <w:pPr>
        <w:pStyle w:val="Ttulo1"/>
        <w:numPr>
          <w:ilvl w:val="0"/>
          <w:numId w:val="0"/>
        </w:numPr>
        <w:ind w:left="10" w:right="0" w:hanging="10"/>
        <w:rPr>
          <w:sz w:val="22"/>
        </w:rPr>
      </w:pPr>
      <w:r w:rsidRPr="005B4D9C">
        <w:rPr>
          <w:sz w:val="22"/>
        </w:rPr>
        <w:t>X-</w:t>
      </w:r>
      <w:r w:rsidR="00F828DC" w:rsidRPr="005B4D9C">
        <w:rPr>
          <w:sz w:val="22"/>
        </w:rPr>
        <w:t xml:space="preserve"> CONCLUSÃO </w:t>
      </w:r>
    </w:p>
    <w:p w:rsidR="0065531E" w:rsidRPr="0065531E" w:rsidRDefault="0065531E" w:rsidP="0065531E"/>
    <w:p w:rsidR="00FB682D" w:rsidRPr="005B4D9C" w:rsidRDefault="00F828DC">
      <w:pPr>
        <w:ind w:left="-15"/>
        <w:rPr>
          <w:sz w:val="22"/>
        </w:rPr>
      </w:pPr>
      <w:r w:rsidRPr="005B4D9C">
        <w:rPr>
          <w:sz w:val="22"/>
        </w:rPr>
        <w:t xml:space="preserve">Assim, frente ao exposto, decide-se efetivar a presente dispensa de licitação, com fundamento no artigo 24, inciso IV, da Lei 8.666/93. </w:t>
      </w:r>
    </w:p>
    <w:p w:rsidR="00E156D4" w:rsidRPr="005B4D9C" w:rsidRDefault="00E156D4">
      <w:pPr>
        <w:ind w:left="-15"/>
        <w:rPr>
          <w:sz w:val="22"/>
        </w:rPr>
      </w:pPr>
    </w:p>
    <w:p w:rsidR="00FB682D" w:rsidRDefault="00F828DC" w:rsidP="00F42AD9">
      <w:pPr>
        <w:spacing w:after="0" w:line="259" w:lineRule="auto"/>
        <w:ind w:right="0" w:firstLine="0"/>
        <w:jc w:val="left"/>
        <w:rPr>
          <w:sz w:val="22"/>
        </w:rPr>
      </w:pPr>
      <w:r w:rsidRPr="005B4D9C">
        <w:rPr>
          <w:sz w:val="22"/>
        </w:rPr>
        <w:t xml:space="preserve"> Cordilheira Alta/SC, </w:t>
      </w:r>
      <w:r w:rsidR="002866A1">
        <w:rPr>
          <w:sz w:val="22"/>
        </w:rPr>
        <w:t>13</w:t>
      </w:r>
      <w:r w:rsidR="0065531E" w:rsidRPr="009361B2">
        <w:rPr>
          <w:sz w:val="22"/>
        </w:rPr>
        <w:t xml:space="preserve"> de maio</w:t>
      </w:r>
      <w:r w:rsidR="00C717E1" w:rsidRPr="009361B2">
        <w:rPr>
          <w:sz w:val="22"/>
        </w:rPr>
        <w:t xml:space="preserve"> de 2021</w:t>
      </w:r>
      <w:r w:rsidRPr="009361B2">
        <w:rPr>
          <w:sz w:val="22"/>
        </w:rPr>
        <w:t>.</w:t>
      </w:r>
      <w:r w:rsidRPr="005B4D9C">
        <w:rPr>
          <w:sz w:val="22"/>
        </w:rPr>
        <w:t xml:space="preserve"> </w:t>
      </w:r>
    </w:p>
    <w:p w:rsidR="002866A1" w:rsidRDefault="002866A1" w:rsidP="00F42AD9">
      <w:pPr>
        <w:spacing w:after="0" w:line="259" w:lineRule="auto"/>
        <w:ind w:right="0" w:firstLine="0"/>
        <w:jc w:val="left"/>
        <w:rPr>
          <w:sz w:val="22"/>
        </w:rPr>
      </w:pPr>
    </w:p>
    <w:p w:rsidR="002866A1" w:rsidRDefault="002866A1" w:rsidP="00F42AD9">
      <w:pPr>
        <w:spacing w:after="0" w:line="259" w:lineRule="auto"/>
        <w:ind w:right="0" w:firstLine="0"/>
        <w:jc w:val="left"/>
        <w:rPr>
          <w:sz w:val="22"/>
        </w:rPr>
      </w:pPr>
      <w:bookmarkStart w:id="0" w:name="_GoBack"/>
      <w:bookmarkEnd w:id="0"/>
    </w:p>
    <w:p w:rsidR="002866A1" w:rsidRPr="005B4D9C" w:rsidRDefault="002866A1" w:rsidP="00F42AD9">
      <w:pPr>
        <w:spacing w:after="0" w:line="259" w:lineRule="auto"/>
        <w:ind w:right="0" w:firstLine="0"/>
        <w:jc w:val="left"/>
        <w:rPr>
          <w:sz w:val="22"/>
        </w:rPr>
      </w:pPr>
    </w:p>
    <w:p w:rsidR="00C717E1" w:rsidRPr="005B4D9C" w:rsidRDefault="00C717E1" w:rsidP="00C717E1">
      <w:pPr>
        <w:spacing w:after="0" w:line="240" w:lineRule="auto"/>
        <w:jc w:val="center"/>
        <w:rPr>
          <w:sz w:val="22"/>
        </w:rPr>
      </w:pPr>
    </w:p>
    <w:p w:rsidR="00C717E1" w:rsidRPr="005B4D9C" w:rsidRDefault="00C717E1" w:rsidP="00C717E1">
      <w:pPr>
        <w:autoSpaceDE w:val="0"/>
        <w:autoSpaceDN w:val="0"/>
        <w:adjustRightInd w:val="0"/>
        <w:spacing w:after="0" w:line="240" w:lineRule="auto"/>
        <w:jc w:val="center"/>
        <w:rPr>
          <w:rFonts w:cs="BookmanOldStyle-Bold"/>
          <w:b/>
          <w:bCs/>
          <w:sz w:val="22"/>
        </w:rPr>
      </w:pPr>
      <w:r w:rsidRPr="005B4D9C">
        <w:rPr>
          <w:rFonts w:cs="BookmanOldStyle-Bold"/>
          <w:b/>
          <w:bCs/>
          <w:sz w:val="22"/>
        </w:rPr>
        <w:t>EMERSON VERDI</w:t>
      </w:r>
    </w:p>
    <w:p w:rsidR="00C717E1" w:rsidRPr="005B4D9C" w:rsidRDefault="00C717E1" w:rsidP="00C717E1">
      <w:pPr>
        <w:autoSpaceDE w:val="0"/>
        <w:autoSpaceDN w:val="0"/>
        <w:adjustRightInd w:val="0"/>
        <w:spacing w:after="0" w:line="240" w:lineRule="auto"/>
        <w:jc w:val="center"/>
        <w:rPr>
          <w:rFonts w:cs="BookmanOldStyle"/>
          <w:sz w:val="22"/>
        </w:rPr>
      </w:pPr>
      <w:r w:rsidRPr="005B4D9C">
        <w:rPr>
          <w:rFonts w:cs="BookmanOldStyle"/>
          <w:sz w:val="22"/>
        </w:rPr>
        <w:t>Presidente da Comissão Permanente de Licitações</w:t>
      </w:r>
    </w:p>
    <w:p w:rsidR="00C717E1" w:rsidRDefault="00C717E1" w:rsidP="00C717E1">
      <w:pPr>
        <w:autoSpaceDE w:val="0"/>
        <w:autoSpaceDN w:val="0"/>
        <w:adjustRightInd w:val="0"/>
        <w:spacing w:after="0" w:line="240" w:lineRule="auto"/>
        <w:jc w:val="center"/>
        <w:rPr>
          <w:rFonts w:cs="BookmanOldStyle-Bold"/>
          <w:b/>
          <w:bCs/>
          <w:sz w:val="22"/>
        </w:rPr>
      </w:pPr>
    </w:p>
    <w:p w:rsidR="002866A1" w:rsidRPr="005B4D9C" w:rsidRDefault="002866A1" w:rsidP="00C717E1">
      <w:pPr>
        <w:autoSpaceDE w:val="0"/>
        <w:autoSpaceDN w:val="0"/>
        <w:adjustRightInd w:val="0"/>
        <w:spacing w:after="0" w:line="240" w:lineRule="auto"/>
        <w:jc w:val="center"/>
        <w:rPr>
          <w:rFonts w:cs="BookmanOldStyle-Bold"/>
          <w:b/>
          <w:bCs/>
          <w:sz w:val="22"/>
        </w:rPr>
      </w:pPr>
    </w:p>
    <w:p w:rsidR="0065531E" w:rsidRDefault="0065531E" w:rsidP="00C717E1">
      <w:pPr>
        <w:autoSpaceDE w:val="0"/>
        <w:autoSpaceDN w:val="0"/>
        <w:adjustRightInd w:val="0"/>
        <w:spacing w:after="0" w:line="240" w:lineRule="auto"/>
        <w:jc w:val="center"/>
        <w:rPr>
          <w:rFonts w:cs="BookmanOldStyle-Bold"/>
          <w:b/>
          <w:bCs/>
          <w:sz w:val="22"/>
        </w:rPr>
      </w:pPr>
    </w:p>
    <w:p w:rsidR="00C717E1" w:rsidRPr="005B4D9C" w:rsidRDefault="00C717E1" w:rsidP="00C717E1">
      <w:pPr>
        <w:autoSpaceDE w:val="0"/>
        <w:autoSpaceDN w:val="0"/>
        <w:adjustRightInd w:val="0"/>
        <w:spacing w:after="0" w:line="240" w:lineRule="auto"/>
        <w:jc w:val="center"/>
        <w:rPr>
          <w:rFonts w:cs="BookmanOldStyle-Bold"/>
          <w:b/>
          <w:bCs/>
          <w:sz w:val="22"/>
        </w:rPr>
      </w:pPr>
      <w:r w:rsidRPr="005B4D9C">
        <w:rPr>
          <w:rFonts w:cs="BookmanOldStyle-Bold"/>
          <w:b/>
          <w:bCs/>
          <w:sz w:val="22"/>
        </w:rPr>
        <w:t>MARGA ANGELA MOCELLIN GIACOMIN</w:t>
      </w:r>
    </w:p>
    <w:p w:rsidR="00C717E1" w:rsidRPr="005B4D9C" w:rsidRDefault="00C717E1" w:rsidP="00C717E1">
      <w:pPr>
        <w:autoSpaceDE w:val="0"/>
        <w:autoSpaceDN w:val="0"/>
        <w:adjustRightInd w:val="0"/>
        <w:spacing w:after="0" w:line="240" w:lineRule="auto"/>
        <w:jc w:val="center"/>
        <w:rPr>
          <w:rFonts w:cs="BookmanOldStyle"/>
          <w:sz w:val="22"/>
        </w:rPr>
      </w:pPr>
      <w:r w:rsidRPr="005B4D9C">
        <w:rPr>
          <w:rFonts w:cs="BookmanOldStyle"/>
          <w:sz w:val="22"/>
        </w:rPr>
        <w:t>Membro da Comissão Permanente de Licitações</w:t>
      </w:r>
    </w:p>
    <w:p w:rsidR="00C717E1" w:rsidRPr="005B4D9C" w:rsidRDefault="00C717E1" w:rsidP="00C717E1">
      <w:pPr>
        <w:autoSpaceDE w:val="0"/>
        <w:autoSpaceDN w:val="0"/>
        <w:adjustRightInd w:val="0"/>
        <w:spacing w:after="0" w:line="240" w:lineRule="auto"/>
        <w:jc w:val="center"/>
        <w:rPr>
          <w:rFonts w:cs="BookmanOldStyle"/>
          <w:sz w:val="22"/>
        </w:rPr>
      </w:pPr>
    </w:p>
    <w:p w:rsidR="0065531E" w:rsidRDefault="0065531E" w:rsidP="00C717E1">
      <w:pPr>
        <w:autoSpaceDE w:val="0"/>
        <w:autoSpaceDN w:val="0"/>
        <w:adjustRightInd w:val="0"/>
        <w:spacing w:after="0" w:line="240" w:lineRule="auto"/>
        <w:jc w:val="center"/>
        <w:rPr>
          <w:rFonts w:cs="BookmanOldStyle-Bold"/>
          <w:b/>
          <w:bCs/>
          <w:sz w:val="22"/>
        </w:rPr>
      </w:pPr>
    </w:p>
    <w:p w:rsidR="002866A1" w:rsidRDefault="002866A1" w:rsidP="00C717E1">
      <w:pPr>
        <w:autoSpaceDE w:val="0"/>
        <w:autoSpaceDN w:val="0"/>
        <w:adjustRightInd w:val="0"/>
        <w:spacing w:after="0" w:line="240" w:lineRule="auto"/>
        <w:jc w:val="center"/>
        <w:rPr>
          <w:rFonts w:cs="BookmanOldStyle-Bold"/>
          <w:b/>
          <w:bCs/>
          <w:sz w:val="22"/>
        </w:rPr>
      </w:pPr>
    </w:p>
    <w:p w:rsidR="00C717E1" w:rsidRPr="005B4D9C" w:rsidRDefault="00F42AD9" w:rsidP="00C717E1">
      <w:pPr>
        <w:autoSpaceDE w:val="0"/>
        <w:autoSpaceDN w:val="0"/>
        <w:adjustRightInd w:val="0"/>
        <w:spacing w:after="0" w:line="240" w:lineRule="auto"/>
        <w:jc w:val="center"/>
        <w:rPr>
          <w:rFonts w:cs="BookmanOldStyle-Bold"/>
          <w:b/>
          <w:bCs/>
          <w:sz w:val="22"/>
        </w:rPr>
      </w:pPr>
      <w:r>
        <w:rPr>
          <w:rFonts w:cs="BookmanOldStyle-Bold"/>
          <w:b/>
          <w:bCs/>
          <w:sz w:val="22"/>
        </w:rPr>
        <w:t>TANIA MARA MAGGIONI DA SILVA</w:t>
      </w:r>
    </w:p>
    <w:p w:rsidR="00FB682D" w:rsidRPr="005B4D9C" w:rsidRDefault="00C717E1" w:rsidP="005B4D9C">
      <w:pPr>
        <w:autoSpaceDE w:val="0"/>
        <w:autoSpaceDN w:val="0"/>
        <w:adjustRightInd w:val="0"/>
        <w:spacing w:after="0" w:line="240" w:lineRule="auto"/>
        <w:jc w:val="center"/>
        <w:rPr>
          <w:sz w:val="22"/>
        </w:rPr>
      </w:pPr>
      <w:r w:rsidRPr="005B4D9C">
        <w:rPr>
          <w:rFonts w:cs="BookmanOldStyle"/>
          <w:sz w:val="22"/>
        </w:rPr>
        <w:t>1° Suplente da Comissão Permanente de Licitações</w:t>
      </w:r>
    </w:p>
    <w:sectPr w:rsidR="00FB682D" w:rsidRPr="005B4D9C">
      <w:headerReference w:type="even" r:id="rId7"/>
      <w:headerReference w:type="default" r:id="rId8"/>
      <w:footerReference w:type="even" r:id="rId9"/>
      <w:footerReference w:type="default" r:id="rId10"/>
      <w:headerReference w:type="first" r:id="rId11"/>
      <w:footerReference w:type="first" r:id="rId12"/>
      <w:pgSz w:w="11906" w:h="16841"/>
      <w:pgMar w:top="1933" w:right="1683" w:bottom="1296" w:left="1702" w:header="679" w:footer="4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56D4" w:rsidRDefault="00CF56D4">
      <w:pPr>
        <w:spacing w:after="0" w:line="240" w:lineRule="auto"/>
      </w:pPr>
      <w:r>
        <w:separator/>
      </w:r>
    </w:p>
  </w:endnote>
  <w:endnote w:type="continuationSeparator" w:id="0">
    <w:p w:rsidR="00CF56D4" w:rsidRDefault="00CF5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OldStyle-Bold">
    <w:panose1 w:val="00000000000000000000"/>
    <w:charset w:val="00"/>
    <w:family w:val="swiss"/>
    <w:notTrueType/>
    <w:pitch w:val="default"/>
    <w:sig w:usb0="00000003" w:usb1="00000000" w:usb2="00000000" w:usb3="00000000" w:csb0="00000001" w:csb1="00000000"/>
  </w:font>
  <w:font w:name="BookmanOldStyle">
    <w:panose1 w:val="00000000000000000000"/>
    <w:charset w:val="00"/>
    <w:family w:val="swiss"/>
    <w:notTrueType/>
    <w:pitch w:val="default"/>
    <w:sig w:usb0="00000000"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82D" w:rsidRDefault="00F828DC">
    <w:pPr>
      <w:spacing w:after="0" w:line="280" w:lineRule="auto"/>
      <w:ind w:left="3291" w:right="0" w:hanging="2909"/>
      <w:jc w:val="left"/>
    </w:pPr>
    <w:r>
      <w:rPr>
        <w:b/>
        <w:sz w:val="16"/>
      </w:rPr>
      <w:t xml:space="preserve">RUA CELSO TOZZO, 27 CEP: 89.819-000 – FONE: (49) 3358-9100 – CORDILHEIRA ALTA – SC </w:t>
    </w:r>
    <w:r>
      <w:rPr>
        <w:b/>
        <w:sz w:val="16"/>
      </w:rPr>
      <w:tab/>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 xml:space="preserve"> </w:t>
    </w:r>
    <w:r>
      <w:rPr>
        <w:b/>
        <w:sz w:val="16"/>
      </w:rPr>
      <w:t xml:space="preserve">www.pmcordi.sc.gov.br </w:t>
    </w:r>
  </w:p>
  <w:p w:rsidR="00FB682D" w:rsidRDefault="00F828DC">
    <w:pPr>
      <w:spacing w:after="0" w:line="259" w:lineRule="auto"/>
      <w:ind w:right="0"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82D" w:rsidRDefault="00F828DC">
    <w:pPr>
      <w:spacing w:after="0" w:line="280" w:lineRule="auto"/>
      <w:ind w:left="3291" w:right="0" w:hanging="2909"/>
      <w:jc w:val="left"/>
    </w:pPr>
    <w:r>
      <w:rPr>
        <w:b/>
        <w:sz w:val="16"/>
      </w:rPr>
      <w:t xml:space="preserve">RUA CELSO TOZZO, 27 CEP: 89.819-000 – FONE: (49) 3358-9100 – CORDILHEIRA ALTA – SC </w:t>
    </w:r>
    <w:r>
      <w:rPr>
        <w:b/>
        <w:sz w:val="16"/>
      </w:rPr>
      <w:tab/>
    </w:r>
    <w:r>
      <w:fldChar w:fldCharType="begin"/>
    </w:r>
    <w:r>
      <w:instrText xml:space="preserve"> PAGE   \* MERGEFORMAT </w:instrText>
    </w:r>
    <w:r>
      <w:fldChar w:fldCharType="separate"/>
    </w:r>
    <w:r w:rsidR="002866A1" w:rsidRPr="002866A1">
      <w:rPr>
        <w:rFonts w:ascii="Arial" w:eastAsia="Arial" w:hAnsi="Arial" w:cs="Arial"/>
        <w:noProof/>
        <w:sz w:val="20"/>
      </w:rPr>
      <w:t>5</w:t>
    </w:r>
    <w:r>
      <w:rPr>
        <w:rFonts w:ascii="Arial" w:eastAsia="Arial" w:hAnsi="Arial" w:cs="Arial"/>
        <w:sz w:val="20"/>
      </w:rPr>
      <w:fldChar w:fldCharType="end"/>
    </w:r>
    <w:r>
      <w:rPr>
        <w:rFonts w:ascii="Arial" w:eastAsia="Arial" w:hAnsi="Arial" w:cs="Arial"/>
        <w:sz w:val="20"/>
      </w:rPr>
      <w:t xml:space="preserve"> </w:t>
    </w:r>
    <w:r>
      <w:rPr>
        <w:b/>
        <w:sz w:val="16"/>
      </w:rPr>
      <w:t xml:space="preserve">www.pmcordi.sc.gov.br </w:t>
    </w:r>
  </w:p>
  <w:p w:rsidR="00FB682D" w:rsidRDefault="00F828DC">
    <w:pPr>
      <w:spacing w:after="0" w:line="259" w:lineRule="auto"/>
      <w:ind w:right="0" w:firstLine="0"/>
      <w:jc w:val="left"/>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82D" w:rsidRDefault="00F828DC">
    <w:pPr>
      <w:spacing w:after="0" w:line="280" w:lineRule="auto"/>
      <w:ind w:left="3291" w:right="0" w:hanging="2909"/>
      <w:jc w:val="left"/>
    </w:pPr>
    <w:r>
      <w:rPr>
        <w:b/>
        <w:sz w:val="16"/>
      </w:rPr>
      <w:t xml:space="preserve">RUA CELSO TOZZO, 27 CEP: 89.819-000 – FONE: (49) 3358-9100 – CORDILHEIRA ALTA – SC </w:t>
    </w:r>
    <w:r>
      <w:rPr>
        <w:b/>
        <w:sz w:val="16"/>
      </w:rPr>
      <w:tab/>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 xml:space="preserve"> </w:t>
    </w:r>
    <w:r>
      <w:rPr>
        <w:b/>
        <w:sz w:val="16"/>
      </w:rPr>
      <w:t xml:space="preserve">www.pmcordi.sc.gov.br </w:t>
    </w:r>
  </w:p>
  <w:p w:rsidR="00FB682D" w:rsidRDefault="00F828DC">
    <w:pPr>
      <w:spacing w:after="0" w:line="259" w:lineRule="auto"/>
      <w:ind w:right="0" w:firstLine="0"/>
      <w:jc w:val="left"/>
    </w:pP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56D4" w:rsidRDefault="00CF56D4">
      <w:pPr>
        <w:spacing w:after="0" w:line="240" w:lineRule="auto"/>
      </w:pPr>
      <w:r>
        <w:separator/>
      </w:r>
    </w:p>
  </w:footnote>
  <w:footnote w:type="continuationSeparator" w:id="0">
    <w:p w:rsidR="00CF56D4" w:rsidRDefault="00CF56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82D" w:rsidRDefault="00F828DC">
    <w:pPr>
      <w:spacing w:after="0" w:line="259" w:lineRule="auto"/>
      <w:ind w:right="607" w:firstLine="0"/>
      <w:jc w:val="right"/>
    </w:pPr>
    <w:r>
      <w:rPr>
        <w:noProof/>
      </w:rPr>
      <w:drawing>
        <wp:anchor distT="0" distB="0" distL="114300" distR="114300" simplePos="0" relativeHeight="251658240" behindDoc="0" locked="0" layoutInCell="1" allowOverlap="0">
          <wp:simplePos x="0" y="0"/>
          <wp:positionH relativeFrom="page">
            <wp:posOffset>1489075</wp:posOffset>
          </wp:positionH>
          <wp:positionV relativeFrom="page">
            <wp:posOffset>431164</wp:posOffset>
          </wp:positionV>
          <wp:extent cx="4584065" cy="762000"/>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62000"/>
                  </a:xfrm>
                  <a:prstGeom prst="rect">
                    <a:avLst/>
                  </a:prstGeom>
                </pic:spPr>
              </pic:pic>
            </a:graphicData>
          </a:graphic>
        </wp:anchor>
      </w:drawing>
    </w: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82D" w:rsidRDefault="00F828DC">
    <w:pPr>
      <w:spacing w:after="0" w:line="259" w:lineRule="auto"/>
      <w:ind w:right="607" w:firstLine="0"/>
      <w:jc w:val="right"/>
    </w:pPr>
    <w:r>
      <w:rPr>
        <w:noProof/>
      </w:rPr>
      <w:drawing>
        <wp:anchor distT="0" distB="0" distL="114300" distR="114300" simplePos="0" relativeHeight="251659264" behindDoc="0" locked="0" layoutInCell="1" allowOverlap="0">
          <wp:simplePos x="0" y="0"/>
          <wp:positionH relativeFrom="page">
            <wp:posOffset>1489075</wp:posOffset>
          </wp:positionH>
          <wp:positionV relativeFrom="page">
            <wp:posOffset>431164</wp:posOffset>
          </wp:positionV>
          <wp:extent cx="4584065" cy="762000"/>
          <wp:effectExtent l="0" t="0" r="0" b="0"/>
          <wp:wrapSquare wrapText="bothSides"/>
          <wp:docPr id="1"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62000"/>
                  </a:xfrm>
                  <a:prstGeom prst="rect">
                    <a:avLst/>
                  </a:prstGeom>
                </pic:spPr>
              </pic:pic>
            </a:graphicData>
          </a:graphic>
        </wp:anchor>
      </w:drawing>
    </w:r>
    <w:r>
      <w:rPr>
        <w:rFonts w:ascii="Times New Roman" w:eastAsia="Times New Roman" w:hAnsi="Times New Roman" w:cs="Times New Roman"/>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82D" w:rsidRDefault="00F828DC">
    <w:pPr>
      <w:spacing w:after="0" w:line="259" w:lineRule="auto"/>
      <w:ind w:right="607" w:firstLine="0"/>
      <w:jc w:val="right"/>
    </w:pPr>
    <w:r>
      <w:rPr>
        <w:noProof/>
      </w:rPr>
      <w:drawing>
        <wp:anchor distT="0" distB="0" distL="114300" distR="114300" simplePos="0" relativeHeight="251660288" behindDoc="0" locked="0" layoutInCell="1" allowOverlap="0">
          <wp:simplePos x="0" y="0"/>
          <wp:positionH relativeFrom="page">
            <wp:posOffset>1489075</wp:posOffset>
          </wp:positionH>
          <wp:positionV relativeFrom="page">
            <wp:posOffset>431164</wp:posOffset>
          </wp:positionV>
          <wp:extent cx="4584065" cy="762000"/>
          <wp:effectExtent l="0" t="0" r="0" b="0"/>
          <wp:wrapSquare wrapText="bothSides"/>
          <wp:docPr id="2"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62000"/>
                  </a:xfrm>
                  <a:prstGeom prst="rect">
                    <a:avLst/>
                  </a:prstGeom>
                </pic:spPr>
              </pic:pic>
            </a:graphicData>
          </a:graphic>
        </wp:anchor>
      </w:drawing>
    </w:r>
    <w:r>
      <w:rPr>
        <w:rFonts w:ascii="Times New Roman" w:eastAsia="Times New Roman" w:hAnsi="Times New Roman" w:cs="Times New Roman"/>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21195"/>
    <w:multiLevelType w:val="hybridMultilevel"/>
    <w:tmpl w:val="761459FC"/>
    <w:lvl w:ilvl="0" w:tplc="9E2451F4">
      <w:start w:val="1"/>
      <w:numFmt w:val="upperRoman"/>
      <w:pStyle w:val="Ttulo1"/>
      <w:lvlText w:val="%1"/>
      <w:lvlJc w:val="left"/>
      <w:pPr>
        <w:ind w:left="0"/>
      </w:pPr>
      <w:rPr>
        <w:rFonts w:ascii="Bookman Old Style" w:eastAsia="Bookman Old Style" w:hAnsi="Bookman Old Style" w:cs="Bookman Old Style"/>
        <w:b/>
        <w:bCs/>
        <w:i w:val="0"/>
        <w:strike w:val="0"/>
        <w:dstrike w:val="0"/>
        <w:color w:val="000000"/>
        <w:sz w:val="24"/>
        <w:szCs w:val="24"/>
        <w:u w:val="none" w:color="000000"/>
        <w:bdr w:val="none" w:sz="0" w:space="0" w:color="auto"/>
        <w:shd w:val="clear" w:color="auto" w:fill="auto"/>
        <w:vertAlign w:val="baseline"/>
      </w:rPr>
    </w:lvl>
    <w:lvl w:ilvl="1" w:tplc="7A326344">
      <w:start w:val="1"/>
      <w:numFmt w:val="lowerLetter"/>
      <w:lvlText w:val="%2"/>
      <w:lvlJc w:val="left"/>
      <w:pPr>
        <w:ind w:left="1080"/>
      </w:pPr>
      <w:rPr>
        <w:rFonts w:ascii="Bookman Old Style" w:eastAsia="Bookman Old Style" w:hAnsi="Bookman Old Style" w:cs="Bookman Old Style"/>
        <w:b/>
        <w:bCs/>
        <w:i w:val="0"/>
        <w:strike w:val="0"/>
        <w:dstrike w:val="0"/>
        <w:color w:val="000000"/>
        <w:sz w:val="24"/>
        <w:szCs w:val="24"/>
        <w:u w:val="none" w:color="000000"/>
        <w:bdr w:val="none" w:sz="0" w:space="0" w:color="auto"/>
        <w:shd w:val="clear" w:color="auto" w:fill="auto"/>
        <w:vertAlign w:val="baseline"/>
      </w:rPr>
    </w:lvl>
    <w:lvl w:ilvl="2" w:tplc="C6E6E866">
      <w:start w:val="1"/>
      <w:numFmt w:val="lowerRoman"/>
      <w:lvlText w:val="%3"/>
      <w:lvlJc w:val="left"/>
      <w:pPr>
        <w:ind w:left="1800"/>
      </w:pPr>
      <w:rPr>
        <w:rFonts w:ascii="Bookman Old Style" w:eastAsia="Bookman Old Style" w:hAnsi="Bookman Old Style" w:cs="Bookman Old Style"/>
        <w:b/>
        <w:bCs/>
        <w:i w:val="0"/>
        <w:strike w:val="0"/>
        <w:dstrike w:val="0"/>
        <w:color w:val="000000"/>
        <w:sz w:val="24"/>
        <w:szCs w:val="24"/>
        <w:u w:val="none" w:color="000000"/>
        <w:bdr w:val="none" w:sz="0" w:space="0" w:color="auto"/>
        <w:shd w:val="clear" w:color="auto" w:fill="auto"/>
        <w:vertAlign w:val="baseline"/>
      </w:rPr>
    </w:lvl>
    <w:lvl w:ilvl="3" w:tplc="3448073E">
      <w:start w:val="1"/>
      <w:numFmt w:val="decimal"/>
      <w:lvlText w:val="%4"/>
      <w:lvlJc w:val="left"/>
      <w:pPr>
        <w:ind w:left="2520"/>
      </w:pPr>
      <w:rPr>
        <w:rFonts w:ascii="Bookman Old Style" w:eastAsia="Bookman Old Style" w:hAnsi="Bookman Old Style" w:cs="Bookman Old Style"/>
        <w:b/>
        <w:bCs/>
        <w:i w:val="0"/>
        <w:strike w:val="0"/>
        <w:dstrike w:val="0"/>
        <w:color w:val="000000"/>
        <w:sz w:val="24"/>
        <w:szCs w:val="24"/>
        <w:u w:val="none" w:color="000000"/>
        <w:bdr w:val="none" w:sz="0" w:space="0" w:color="auto"/>
        <w:shd w:val="clear" w:color="auto" w:fill="auto"/>
        <w:vertAlign w:val="baseline"/>
      </w:rPr>
    </w:lvl>
    <w:lvl w:ilvl="4" w:tplc="31DAC128">
      <w:start w:val="1"/>
      <w:numFmt w:val="lowerLetter"/>
      <w:lvlText w:val="%5"/>
      <w:lvlJc w:val="left"/>
      <w:pPr>
        <w:ind w:left="3240"/>
      </w:pPr>
      <w:rPr>
        <w:rFonts w:ascii="Bookman Old Style" w:eastAsia="Bookman Old Style" w:hAnsi="Bookman Old Style" w:cs="Bookman Old Style"/>
        <w:b/>
        <w:bCs/>
        <w:i w:val="0"/>
        <w:strike w:val="0"/>
        <w:dstrike w:val="0"/>
        <w:color w:val="000000"/>
        <w:sz w:val="24"/>
        <w:szCs w:val="24"/>
        <w:u w:val="none" w:color="000000"/>
        <w:bdr w:val="none" w:sz="0" w:space="0" w:color="auto"/>
        <w:shd w:val="clear" w:color="auto" w:fill="auto"/>
        <w:vertAlign w:val="baseline"/>
      </w:rPr>
    </w:lvl>
    <w:lvl w:ilvl="5" w:tplc="9FC282B0">
      <w:start w:val="1"/>
      <w:numFmt w:val="lowerRoman"/>
      <w:lvlText w:val="%6"/>
      <w:lvlJc w:val="left"/>
      <w:pPr>
        <w:ind w:left="3960"/>
      </w:pPr>
      <w:rPr>
        <w:rFonts w:ascii="Bookman Old Style" w:eastAsia="Bookman Old Style" w:hAnsi="Bookman Old Style" w:cs="Bookman Old Style"/>
        <w:b/>
        <w:bCs/>
        <w:i w:val="0"/>
        <w:strike w:val="0"/>
        <w:dstrike w:val="0"/>
        <w:color w:val="000000"/>
        <w:sz w:val="24"/>
        <w:szCs w:val="24"/>
        <w:u w:val="none" w:color="000000"/>
        <w:bdr w:val="none" w:sz="0" w:space="0" w:color="auto"/>
        <w:shd w:val="clear" w:color="auto" w:fill="auto"/>
        <w:vertAlign w:val="baseline"/>
      </w:rPr>
    </w:lvl>
    <w:lvl w:ilvl="6" w:tplc="11A67260">
      <w:start w:val="1"/>
      <w:numFmt w:val="decimal"/>
      <w:lvlText w:val="%7"/>
      <w:lvlJc w:val="left"/>
      <w:pPr>
        <w:ind w:left="4680"/>
      </w:pPr>
      <w:rPr>
        <w:rFonts w:ascii="Bookman Old Style" w:eastAsia="Bookman Old Style" w:hAnsi="Bookman Old Style" w:cs="Bookman Old Style"/>
        <w:b/>
        <w:bCs/>
        <w:i w:val="0"/>
        <w:strike w:val="0"/>
        <w:dstrike w:val="0"/>
        <w:color w:val="000000"/>
        <w:sz w:val="24"/>
        <w:szCs w:val="24"/>
        <w:u w:val="none" w:color="000000"/>
        <w:bdr w:val="none" w:sz="0" w:space="0" w:color="auto"/>
        <w:shd w:val="clear" w:color="auto" w:fill="auto"/>
        <w:vertAlign w:val="baseline"/>
      </w:rPr>
    </w:lvl>
    <w:lvl w:ilvl="7" w:tplc="649AC316">
      <w:start w:val="1"/>
      <w:numFmt w:val="lowerLetter"/>
      <w:lvlText w:val="%8"/>
      <w:lvlJc w:val="left"/>
      <w:pPr>
        <w:ind w:left="5400"/>
      </w:pPr>
      <w:rPr>
        <w:rFonts w:ascii="Bookman Old Style" w:eastAsia="Bookman Old Style" w:hAnsi="Bookman Old Style" w:cs="Bookman Old Style"/>
        <w:b/>
        <w:bCs/>
        <w:i w:val="0"/>
        <w:strike w:val="0"/>
        <w:dstrike w:val="0"/>
        <w:color w:val="000000"/>
        <w:sz w:val="24"/>
        <w:szCs w:val="24"/>
        <w:u w:val="none" w:color="000000"/>
        <w:bdr w:val="none" w:sz="0" w:space="0" w:color="auto"/>
        <w:shd w:val="clear" w:color="auto" w:fill="auto"/>
        <w:vertAlign w:val="baseline"/>
      </w:rPr>
    </w:lvl>
    <w:lvl w:ilvl="8" w:tplc="AECA10B6">
      <w:start w:val="1"/>
      <w:numFmt w:val="lowerRoman"/>
      <w:lvlText w:val="%9"/>
      <w:lvlJc w:val="left"/>
      <w:pPr>
        <w:ind w:left="6120"/>
      </w:pPr>
      <w:rPr>
        <w:rFonts w:ascii="Bookman Old Style" w:eastAsia="Bookman Old Style" w:hAnsi="Bookman Old Style" w:cs="Bookman Old Style"/>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E7E7AC7"/>
    <w:multiLevelType w:val="hybridMultilevel"/>
    <w:tmpl w:val="C96CCA7C"/>
    <w:lvl w:ilvl="0" w:tplc="6CBE401E">
      <w:start w:val="1"/>
      <w:numFmt w:val="bullet"/>
      <w:lvlText w:val="-"/>
      <w:lvlJc w:val="left"/>
      <w:pPr>
        <w:ind w:left="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195E6FF4">
      <w:start w:val="1"/>
      <w:numFmt w:val="bullet"/>
      <w:lvlText w:val="o"/>
      <w:lvlJc w:val="left"/>
      <w:pPr>
        <w:ind w:left="1788"/>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5EB25498">
      <w:start w:val="1"/>
      <w:numFmt w:val="bullet"/>
      <w:lvlText w:val="▪"/>
      <w:lvlJc w:val="left"/>
      <w:pPr>
        <w:ind w:left="2508"/>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D9564470">
      <w:start w:val="1"/>
      <w:numFmt w:val="bullet"/>
      <w:lvlText w:val="•"/>
      <w:lvlJc w:val="left"/>
      <w:pPr>
        <w:ind w:left="3228"/>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11C0630A">
      <w:start w:val="1"/>
      <w:numFmt w:val="bullet"/>
      <w:lvlText w:val="o"/>
      <w:lvlJc w:val="left"/>
      <w:pPr>
        <w:ind w:left="3948"/>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FFA4D8D2">
      <w:start w:val="1"/>
      <w:numFmt w:val="bullet"/>
      <w:lvlText w:val="▪"/>
      <w:lvlJc w:val="left"/>
      <w:pPr>
        <w:ind w:left="4668"/>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6CCE71B6">
      <w:start w:val="1"/>
      <w:numFmt w:val="bullet"/>
      <w:lvlText w:val="•"/>
      <w:lvlJc w:val="left"/>
      <w:pPr>
        <w:ind w:left="5388"/>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D466EC58">
      <w:start w:val="1"/>
      <w:numFmt w:val="bullet"/>
      <w:lvlText w:val="o"/>
      <w:lvlJc w:val="left"/>
      <w:pPr>
        <w:ind w:left="6108"/>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9E3E2196">
      <w:start w:val="1"/>
      <w:numFmt w:val="bullet"/>
      <w:lvlText w:val="▪"/>
      <w:lvlJc w:val="left"/>
      <w:pPr>
        <w:ind w:left="6828"/>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ED05428"/>
    <w:multiLevelType w:val="hybridMultilevel"/>
    <w:tmpl w:val="B95EFBB6"/>
    <w:lvl w:ilvl="0" w:tplc="1EA625CE">
      <w:start w:val="1"/>
      <w:numFmt w:val="upperRoman"/>
      <w:lvlText w:val="%1"/>
      <w:lvlJc w:val="left"/>
      <w:pPr>
        <w:ind w:left="1936"/>
      </w:pPr>
      <w:rPr>
        <w:rFonts w:ascii="Bookman Old Style" w:eastAsia="Bookman Old Style" w:hAnsi="Bookman Old Style" w:cs="Bookman Old Style"/>
        <w:b w:val="0"/>
        <w:i/>
        <w:iCs/>
        <w:strike w:val="0"/>
        <w:dstrike w:val="0"/>
        <w:color w:val="000000"/>
        <w:sz w:val="20"/>
        <w:szCs w:val="20"/>
        <w:u w:val="none" w:color="000000"/>
        <w:bdr w:val="none" w:sz="0" w:space="0" w:color="auto"/>
        <w:shd w:val="clear" w:color="auto" w:fill="auto"/>
        <w:vertAlign w:val="baseline"/>
      </w:rPr>
    </w:lvl>
    <w:lvl w:ilvl="1" w:tplc="974CCEB4">
      <w:start w:val="1"/>
      <w:numFmt w:val="lowerLetter"/>
      <w:lvlText w:val="%2"/>
      <w:lvlJc w:val="left"/>
      <w:pPr>
        <w:ind w:left="2782"/>
      </w:pPr>
      <w:rPr>
        <w:rFonts w:ascii="Bookman Old Style" w:eastAsia="Bookman Old Style" w:hAnsi="Bookman Old Style" w:cs="Bookman Old Style"/>
        <w:b w:val="0"/>
        <w:i/>
        <w:iCs/>
        <w:strike w:val="0"/>
        <w:dstrike w:val="0"/>
        <w:color w:val="000000"/>
        <w:sz w:val="20"/>
        <w:szCs w:val="20"/>
        <w:u w:val="none" w:color="000000"/>
        <w:bdr w:val="none" w:sz="0" w:space="0" w:color="auto"/>
        <w:shd w:val="clear" w:color="auto" w:fill="auto"/>
        <w:vertAlign w:val="baseline"/>
      </w:rPr>
    </w:lvl>
    <w:lvl w:ilvl="2" w:tplc="562E96C4">
      <w:start w:val="1"/>
      <w:numFmt w:val="lowerRoman"/>
      <w:lvlText w:val="%3"/>
      <w:lvlJc w:val="left"/>
      <w:pPr>
        <w:ind w:left="3502"/>
      </w:pPr>
      <w:rPr>
        <w:rFonts w:ascii="Bookman Old Style" w:eastAsia="Bookman Old Style" w:hAnsi="Bookman Old Style" w:cs="Bookman Old Style"/>
        <w:b w:val="0"/>
        <w:i/>
        <w:iCs/>
        <w:strike w:val="0"/>
        <w:dstrike w:val="0"/>
        <w:color w:val="000000"/>
        <w:sz w:val="20"/>
        <w:szCs w:val="20"/>
        <w:u w:val="none" w:color="000000"/>
        <w:bdr w:val="none" w:sz="0" w:space="0" w:color="auto"/>
        <w:shd w:val="clear" w:color="auto" w:fill="auto"/>
        <w:vertAlign w:val="baseline"/>
      </w:rPr>
    </w:lvl>
    <w:lvl w:ilvl="3" w:tplc="877C3E34">
      <w:start w:val="1"/>
      <w:numFmt w:val="decimal"/>
      <w:lvlText w:val="%4"/>
      <w:lvlJc w:val="left"/>
      <w:pPr>
        <w:ind w:left="4222"/>
      </w:pPr>
      <w:rPr>
        <w:rFonts w:ascii="Bookman Old Style" w:eastAsia="Bookman Old Style" w:hAnsi="Bookman Old Style" w:cs="Bookman Old Style"/>
        <w:b w:val="0"/>
        <w:i/>
        <w:iCs/>
        <w:strike w:val="0"/>
        <w:dstrike w:val="0"/>
        <w:color w:val="000000"/>
        <w:sz w:val="20"/>
        <w:szCs w:val="20"/>
        <w:u w:val="none" w:color="000000"/>
        <w:bdr w:val="none" w:sz="0" w:space="0" w:color="auto"/>
        <w:shd w:val="clear" w:color="auto" w:fill="auto"/>
        <w:vertAlign w:val="baseline"/>
      </w:rPr>
    </w:lvl>
    <w:lvl w:ilvl="4" w:tplc="DCF66AA8">
      <w:start w:val="1"/>
      <w:numFmt w:val="lowerLetter"/>
      <w:lvlText w:val="%5"/>
      <w:lvlJc w:val="left"/>
      <w:pPr>
        <w:ind w:left="4942"/>
      </w:pPr>
      <w:rPr>
        <w:rFonts w:ascii="Bookman Old Style" w:eastAsia="Bookman Old Style" w:hAnsi="Bookman Old Style" w:cs="Bookman Old Style"/>
        <w:b w:val="0"/>
        <w:i/>
        <w:iCs/>
        <w:strike w:val="0"/>
        <w:dstrike w:val="0"/>
        <w:color w:val="000000"/>
        <w:sz w:val="20"/>
        <w:szCs w:val="20"/>
        <w:u w:val="none" w:color="000000"/>
        <w:bdr w:val="none" w:sz="0" w:space="0" w:color="auto"/>
        <w:shd w:val="clear" w:color="auto" w:fill="auto"/>
        <w:vertAlign w:val="baseline"/>
      </w:rPr>
    </w:lvl>
    <w:lvl w:ilvl="5" w:tplc="430A4D8C">
      <w:start w:val="1"/>
      <w:numFmt w:val="lowerRoman"/>
      <w:lvlText w:val="%6"/>
      <w:lvlJc w:val="left"/>
      <w:pPr>
        <w:ind w:left="5662"/>
      </w:pPr>
      <w:rPr>
        <w:rFonts w:ascii="Bookman Old Style" w:eastAsia="Bookman Old Style" w:hAnsi="Bookman Old Style" w:cs="Bookman Old Style"/>
        <w:b w:val="0"/>
        <w:i/>
        <w:iCs/>
        <w:strike w:val="0"/>
        <w:dstrike w:val="0"/>
        <w:color w:val="000000"/>
        <w:sz w:val="20"/>
        <w:szCs w:val="20"/>
        <w:u w:val="none" w:color="000000"/>
        <w:bdr w:val="none" w:sz="0" w:space="0" w:color="auto"/>
        <w:shd w:val="clear" w:color="auto" w:fill="auto"/>
        <w:vertAlign w:val="baseline"/>
      </w:rPr>
    </w:lvl>
    <w:lvl w:ilvl="6" w:tplc="8556A9A4">
      <w:start w:val="1"/>
      <w:numFmt w:val="decimal"/>
      <w:lvlText w:val="%7"/>
      <w:lvlJc w:val="left"/>
      <w:pPr>
        <w:ind w:left="6382"/>
      </w:pPr>
      <w:rPr>
        <w:rFonts w:ascii="Bookman Old Style" w:eastAsia="Bookman Old Style" w:hAnsi="Bookman Old Style" w:cs="Bookman Old Style"/>
        <w:b w:val="0"/>
        <w:i/>
        <w:iCs/>
        <w:strike w:val="0"/>
        <w:dstrike w:val="0"/>
        <w:color w:val="000000"/>
        <w:sz w:val="20"/>
        <w:szCs w:val="20"/>
        <w:u w:val="none" w:color="000000"/>
        <w:bdr w:val="none" w:sz="0" w:space="0" w:color="auto"/>
        <w:shd w:val="clear" w:color="auto" w:fill="auto"/>
        <w:vertAlign w:val="baseline"/>
      </w:rPr>
    </w:lvl>
    <w:lvl w:ilvl="7" w:tplc="8A8E0BA0">
      <w:start w:val="1"/>
      <w:numFmt w:val="lowerLetter"/>
      <w:lvlText w:val="%8"/>
      <w:lvlJc w:val="left"/>
      <w:pPr>
        <w:ind w:left="7102"/>
      </w:pPr>
      <w:rPr>
        <w:rFonts w:ascii="Bookman Old Style" w:eastAsia="Bookman Old Style" w:hAnsi="Bookman Old Style" w:cs="Bookman Old Style"/>
        <w:b w:val="0"/>
        <w:i/>
        <w:iCs/>
        <w:strike w:val="0"/>
        <w:dstrike w:val="0"/>
        <w:color w:val="000000"/>
        <w:sz w:val="20"/>
        <w:szCs w:val="20"/>
        <w:u w:val="none" w:color="000000"/>
        <w:bdr w:val="none" w:sz="0" w:space="0" w:color="auto"/>
        <w:shd w:val="clear" w:color="auto" w:fill="auto"/>
        <w:vertAlign w:val="baseline"/>
      </w:rPr>
    </w:lvl>
    <w:lvl w:ilvl="8" w:tplc="54083E38">
      <w:start w:val="1"/>
      <w:numFmt w:val="lowerRoman"/>
      <w:lvlText w:val="%9"/>
      <w:lvlJc w:val="left"/>
      <w:pPr>
        <w:ind w:left="7822"/>
      </w:pPr>
      <w:rPr>
        <w:rFonts w:ascii="Bookman Old Style" w:eastAsia="Bookman Old Style" w:hAnsi="Bookman Old Style" w:cs="Bookman Old Style"/>
        <w:b w:val="0"/>
        <w:i/>
        <w:iCs/>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71552B36"/>
    <w:multiLevelType w:val="hybridMultilevel"/>
    <w:tmpl w:val="E794AC7A"/>
    <w:lvl w:ilvl="0" w:tplc="2F320E36">
      <w:start w:val="1"/>
      <w:numFmt w:val="upperRoman"/>
      <w:lvlText w:val="%1"/>
      <w:lvlJc w:val="left"/>
      <w:pPr>
        <w:ind w:left="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83D2A572">
      <w:start w:val="1"/>
      <w:numFmt w:val="lowerLetter"/>
      <w:lvlText w:val="%2"/>
      <w:lvlJc w:val="left"/>
      <w:pPr>
        <w:ind w:left="1788"/>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B6464F10">
      <w:start w:val="1"/>
      <w:numFmt w:val="lowerRoman"/>
      <w:lvlText w:val="%3"/>
      <w:lvlJc w:val="left"/>
      <w:pPr>
        <w:ind w:left="2508"/>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A748F4B0">
      <w:start w:val="1"/>
      <w:numFmt w:val="decimal"/>
      <w:lvlText w:val="%4"/>
      <w:lvlJc w:val="left"/>
      <w:pPr>
        <w:ind w:left="3228"/>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85102054">
      <w:start w:val="1"/>
      <w:numFmt w:val="lowerLetter"/>
      <w:lvlText w:val="%5"/>
      <w:lvlJc w:val="left"/>
      <w:pPr>
        <w:ind w:left="3948"/>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7DC220F8">
      <w:start w:val="1"/>
      <w:numFmt w:val="lowerRoman"/>
      <w:lvlText w:val="%6"/>
      <w:lvlJc w:val="left"/>
      <w:pPr>
        <w:ind w:left="4668"/>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451CA51A">
      <w:start w:val="1"/>
      <w:numFmt w:val="decimal"/>
      <w:lvlText w:val="%7"/>
      <w:lvlJc w:val="left"/>
      <w:pPr>
        <w:ind w:left="5388"/>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590C8248">
      <w:start w:val="1"/>
      <w:numFmt w:val="lowerLetter"/>
      <w:lvlText w:val="%8"/>
      <w:lvlJc w:val="left"/>
      <w:pPr>
        <w:ind w:left="6108"/>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79CE6A0E">
      <w:start w:val="1"/>
      <w:numFmt w:val="lowerRoman"/>
      <w:lvlText w:val="%9"/>
      <w:lvlJc w:val="left"/>
      <w:pPr>
        <w:ind w:left="6828"/>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82D"/>
    <w:rsid w:val="00065130"/>
    <w:rsid w:val="002326FB"/>
    <w:rsid w:val="00251B4C"/>
    <w:rsid w:val="002866A1"/>
    <w:rsid w:val="002C7EE0"/>
    <w:rsid w:val="00363E5F"/>
    <w:rsid w:val="003B03F0"/>
    <w:rsid w:val="004963B1"/>
    <w:rsid w:val="00554729"/>
    <w:rsid w:val="005669FF"/>
    <w:rsid w:val="005B4D9C"/>
    <w:rsid w:val="005D4989"/>
    <w:rsid w:val="005F0649"/>
    <w:rsid w:val="0063289B"/>
    <w:rsid w:val="00641169"/>
    <w:rsid w:val="0065531E"/>
    <w:rsid w:val="00716558"/>
    <w:rsid w:val="00826CC9"/>
    <w:rsid w:val="009023BF"/>
    <w:rsid w:val="009361B2"/>
    <w:rsid w:val="00AA23C4"/>
    <w:rsid w:val="00AE6070"/>
    <w:rsid w:val="00AE7F05"/>
    <w:rsid w:val="00C22DE6"/>
    <w:rsid w:val="00C339C1"/>
    <w:rsid w:val="00C5629F"/>
    <w:rsid w:val="00C717E1"/>
    <w:rsid w:val="00CF56D4"/>
    <w:rsid w:val="00E156D4"/>
    <w:rsid w:val="00F12469"/>
    <w:rsid w:val="00F42AD9"/>
    <w:rsid w:val="00F828DC"/>
    <w:rsid w:val="00FB68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2B96B"/>
  <w15:docId w15:val="{0CF89780-0061-4266-AE38-2C6656549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 w:line="249" w:lineRule="auto"/>
      <w:ind w:right="3" w:firstLine="698"/>
      <w:jc w:val="both"/>
    </w:pPr>
    <w:rPr>
      <w:rFonts w:ascii="Bookman Old Style" w:eastAsia="Bookman Old Style" w:hAnsi="Bookman Old Style" w:cs="Bookman Old Style"/>
      <w:color w:val="000000"/>
      <w:sz w:val="24"/>
    </w:rPr>
  </w:style>
  <w:style w:type="paragraph" w:styleId="Ttulo1">
    <w:name w:val="heading 1"/>
    <w:next w:val="Normal"/>
    <w:link w:val="Ttulo1Char"/>
    <w:uiPriority w:val="9"/>
    <w:unhideWhenUsed/>
    <w:qFormat/>
    <w:pPr>
      <w:keepNext/>
      <w:keepLines/>
      <w:numPr>
        <w:numId w:val="4"/>
      </w:numPr>
      <w:spacing w:after="0"/>
      <w:ind w:left="10" w:right="14" w:hanging="10"/>
      <w:outlineLvl w:val="0"/>
    </w:pPr>
    <w:rPr>
      <w:rFonts w:ascii="Bookman Old Style" w:eastAsia="Bookman Old Style" w:hAnsi="Bookman Old Style" w:cs="Bookman Old Style"/>
      <w:b/>
      <w:color w:val="00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5</Pages>
  <Words>1525</Words>
  <Characters>8240</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cp:lastModifiedBy>Usuário do Windows</cp:lastModifiedBy>
  <cp:revision>25</cp:revision>
  <dcterms:created xsi:type="dcterms:W3CDTF">2021-03-26T13:35:00Z</dcterms:created>
  <dcterms:modified xsi:type="dcterms:W3CDTF">2021-05-13T14:11:00Z</dcterms:modified>
</cp:coreProperties>
</file>