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E8F" w:rsidRPr="001F5CED" w:rsidRDefault="003A0626" w:rsidP="00052E8F">
      <w:pPr>
        <w:spacing w:line="259" w:lineRule="auto"/>
        <w:ind w:left="-5" w:right="0" w:hanging="10"/>
        <w:jc w:val="center"/>
        <w:rPr>
          <w:b/>
        </w:rPr>
      </w:pPr>
      <w:r>
        <w:rPr>
          <w:b/>
        </w:rPr>
        <w:t xml:space="preserve">PROCESSO ADMINISTRATIVO </w:t>
      </w:r>
      <w:r w:rsidRPr="001F5CED">
        <w:rPr>
          <w:b/>
        </w:rPr>
        <w:t xml:space="preserve">N° </w:t>
      </w:r>
      <w:r w:rsidR="008B453E">
        <w:rPr>
          <w:b/>
        </w:rPr>
        <w:t>79</w:t>
      </w:r>
      <w:r w:rsidR="00052E8F" w:rsidRPr="001F5CED">
        <w:rPr>
          <w:b/>
        </w:rPr>
        <w:t>/2021</w:t>
      </w:r>
    </w:p>
    <w:p w:rsidR="00EB6EA5" w:rsidRDefault="003A0626" w:rsidP="00052E8F">
      <w:pPr>
        <w:spacing w:line="259" w:lineRule="auto"/>
        <w:ind w:left="-5" w:right="0" w:hanging="10"/>
        <w:jc w:val="center"/>
      </w:pPr>
      <w:r w:rsidRPr="001F5CED">
        <w:rPr>
          <w:b/>
        </w:rPr>
        <w:t xml:space="preserve">DISPENSA DE LICITAÇÃO N° </w:t>
      </w:r>
      <w:r w:rsidR="008B453E">
        <w:rPr>
          <w:b/>
        </w:rPr>
        <w:t>43</w:t>
      </w:r>
      <w:r w:rsidR="00052E8F" w:rsidRPr="001F5CED">
        <w:rPr>
          <w:b/>
        </w:rPr>
        <w:t>/2021</w:t>
      </w:r>
    </w:p>
    <w:p w:rsidR="00EB6EA5" w:rsidRDefault="003A0626">
      <w:pPr>
        <w:spacing w:line="259" w:lineRule="auto"/>
        <w:ind w:right="0" w:firstLine="0"/>
        <w:jc w:val="left"/>
      </w:pPr>
      <w:r>
        <w:t xml:space="preserve"> </w:t>
      </w:r>
    </w:p>
    <w:p w:rsidR="00EB6EA5" w:rsidRPr="000D4ABF" w:rsidRDefault="003A0626">
      <w:pPr>
        <w:pStyle w:val="Ttulo1"/>
        <w:ind w:left="163" w:hanging="178"/>
        <w:rPr>
          <w:sz w:val="22"/>
        </w:rPr>
      </w:pPr>
      <w:r w:rsidRPr="000D4ABF">
        <w:rPr>
          <w:sz w:val="22"/>
        </w:rPr>
        <w:t xml:space="preserve">- DO OBJETO </w:t>
      </w:r>
    </w:p>
    <w:p w:rsidR="00477E8E" w:rsidRPr="000D4ABF" w:rsidRDefault="00477E8E" w:rsidP="00477E8E">
      <w:pPr>
        <w:rPr>
          <w:sz w:val="22"/>
        </w:rPr>
      </w:pPr>
    </w:p>
    <w:p w:rsidR="00EB6EA5" w:rsidRPr="000D4ABF" w:rsidRDefault="003A0626" w:rsidP="00840A7A">
      <w:pPr>
        <w:ind w:left="-15" w:right="3" w:firstLine="0"/>
        <w:rPr>
          <w:sz w:val="22"/>
        </w:rPr>
      </w:pPr>
      <w:r w:rsidRPr="000D4ABF">
        <w:rPr>
          <w:sz w:val="22"/>
        </w:rPr>
        <w:t xml:space="preserve"> </w:t>
      </w:r>
      <w:r w:rsidR="00EB2456" w:rsidRPr="000D4ABF">
        <w:rPr>
          <w:sz w:val="22"/>
        </w:rPr>
        <w:tab/>
      </w:r>
      <w:r w:rsidRPr="000D4ABF">
        <w:rPr>
          <w:sz w:val="22"/>
        </w:rPr>
        <w:t xml:space="preserve">O objeto da presente dispensa de licitação é a </w:t>
      </w:r>
      <w:r w:rsidR="005775BA" w:rsidRPr="000D4ABF">
        <w:rPr>
          <w:sz w:val="22"/>
        </w:rPr>
        <w:t>Aquisição de termômetro infravermelho para aferição de temperatura corporal e protetores faciais do tipo face shield visando atender as necessidades emergenciais da Rede Municipal de Educação de Cordilheira Alta/SC.</w:t>
      </w:r>
    </w:p>
    <w:p w:rsidR="005775BA" w:rsidRPr="000D4ABF" w:rsidRDefault="005775BA" w:rsidP="00840A7A">
      <w:pPr>
        <w:ind w:left="-15" w:right="3" w:firstLine="0"/>
        <w:rPr>
          <w:sz w:val="22"/>
        </w:rPr>
      </w:pPr>
    </w:p>
    <w:p w:rsidR="00EB6EA5" w:rsidRPr="000D4ABF" w:rsidRDefault="003A0626">
      <w:pPr>
        <w:pStyle w:val="Ttulo1"/>
        <w:ind w:left="259" w:hanging="274"/>
        <w:rPr>
          <w:sz w:val="22"/>
        </w:rPr>
      </w:pPr>
      <w:r w:rsidRPr="000D4ABF">
        <w:rPr>
          <w:sz w:val="22"/>
        </w:rPr>
        <w:t xml:space="preserve">– FUNDAMENTAÇÃO LEGAL </w:t>
      </w:r>
    </w:p>
    <w:p w:rsidR="00477E8E" w:rsidRPr="000D4ABF" w:rsidRDefault="00477E8E" w:rsidP="00477E8E">
      <w:pPr>
        <w:rPr>
          <w:sz w:val="22"/>
        </w:rPr>
      </w:pPr>
    </w:p>
    <w:p w:rsidR="00EB6EA5" w:rsidRPr="000D4ABF" w:rsidRDefault="003A0626">
      <w:pPr>
        <w:ind w:left="-15" w:right="3"/>
        <w:rPr>
          <w:sz w:val="22"/>
        </w:rPr>
      </w:pPr>
      <w:r w:rsidRPr="000D4ABF">
        <w:rPr>
          <w:sz w:val="22"/>
        </w:rPr>
        <w:t xml:space="preserve">A Lei de Licitações e Contratos nº. 8.666/93, em seu artigo 24, estabelece, em rol taxativo, as hipóteses em que o processo licitatório poderá ser dispensado.  </w:t>
      </w:r>
    </w:p>
    <w:p w:rsidR="00477E8E" w:rsidRPr="000D4ABF" w:rsidRDefault="00477E8E">
      <w:pPr>
        <w:ind w:left="-15" w:right="3"/>
        <w:rPr>
          <w:sz w:val="22"/>
        </w:rPr>
      </w:pPr>
    </w:p>
    <w:p w:rsidR="00EB6EA5" w:rsidRPr="000D4ABF" w:rsidRDefault="003A0626">
      <w:pPr>
        <w:ind w:left="-15" w:right="3"/>
        <w:rPr>
          <w:sz w:val="22"/>
        </w:rPr>
      </w:pPr>
      <w:r w:rsidRPr="000D4ABF">
        <w:rPr>
          <w:sz w:val="22"/>
        </w:rPr>
        <w:t xml:space="preserve">No caso em questão, verifica-se a dispensa de licitação com base jurídica no inciso IV do artigo 24 da Lei nº 8.666/93: </w:t>
      </w:r>
    </w:p>
    <w:p w:rsidR="00477E8E" w:rsidRPr="000D4ABF" w:rsidRDefault="00477E8E">
      <w:pPr>
        <w:ind w:left="-15" w:right="3"/>
        <w:rPr>
          <w:sz w:val="22"/>
        </w:rPr>
      </w:pPr>
    </w:p>
    <w:p w:rsidR="00EB6EA5" w:rsidRPr="000D4ABF" w:rsidRDefault="003A0626" w:rsidP="00477E8E">
      <w:pPr>
        <w:spacing w:after="4" w:line="250" w:lineRule="auto"/>
        <w:ind w:leftChars="1240" w:left="2976" w:right="0" w:firstLine="0"/>
        <w:rPr>
          <w:sz w:val="22"/>
        </w:rPr>
      </w:pPr>
      <w:r w:rsidRPr="000D4ABF">
        <w:rPr>
          <w:i/>
          <w:sz w:val="22"/>
        </w:rPr>
        <w:t xml:space="preserve">Art. 24 É dispensável a licitação: </w:t>
      </w:r>
    </w:p>
    <w:p w:rsidR="00052E8F" w:rsidRPr="000D4ABF" w:rsidRDefault="003A0626" w:rsidP="00477E8E">
      <w:pPr>
        <w:spacing w:after="4" w:line="250" w:lineRule="auto"/>
        <w:ind w:leftChars="1240" w:left="2976" w:right="0" w:firstLine="0"/>
        <w:rPr>
          <w:i/>
          <w:sz w:val="22"/>
        </w:rPr>
      </w:pPr>
      <w:r w:rsidRPr="000D4ABF">
        <w:rPr>
          <w:i/>
          <w:sz w:val="22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0D4ABF">
        <w:rPr>
          <w:i/>
          <w:sz w:val="22"/>
          <w:u w:val="single" w:color="000000"/>
        </w:rPr>
        <w:t>prazo máximo de 180 (cento e oitenta) dias</w:t>
      </w:r>
      <w:r w:rsidRPr="000D4ABF">
        <w:rPr>
          <w:i/>
          <w:sz w:val="22"/>
        </w:rPr>
        <w:t xml:space="preserve"> consecutivos e ininterruptos, contados da ocorrência da emergência ou calamidade, vedada a prorrogação dos respectivos contratos;” </w:t>
      </w:r>
    </w:p>
    <w:p w:rsidR="00477E8E" w:rsidRPr="000D4ABF" w:rsidRDefault="00477E8E" w:rsidP="00477E8E">
      <w:pPr>
        <w:spacing w:after="4" w:line="250" w:lineRule="auto"/>
        <w:ind w:leftChars="1240" w:left="2976" w:right="0" w:firstLine="0"/>
        <w:rPr>
          <w:i/>
          <w:sz w:val="22"/>
        </w:rPr>
      </w:pPr>
    </w:p>
    <w:p w:rsidR="00EB6EA5" w:rsidRPr="000D4ABF" w:rsidRDefault="003A0626" w:rsidP="00335E6D">
      <w:pPr>
        <w:spacing w:after="4"/>
        <w:ind w:right="4" w:firstLine="708"/>
        <w:rPr>
          <w:sz w:val="22"/>
        </w:rPr>
      </w:pPr>
      <w:r w:rsidRPr="000D4ABF">
        <w:rPr>
          <w:sz w:val="22"/>
        </w:rPr>
        <w:t xml:space="preserve">Desta forma, a contratação por emergência ocorre em situações imprevisíveis que devem ser prontamente atendidas pela Administração Pública, sob pena de causar prejuízo ao interesse público primário, qual seja, o interesse socialmente protegido.  </w:t>
      </w:r>
    </w:p>
    <w:p w:rsidR="00EB6EA5" w:rsidRPr="000D4ABF" w:rsidRDefault="003A0626">
      <w:pPr>
        <w:spacing w:line="259" w:lineRule="auto"/>
        <w:ind w:right="221" w:firstLine="0"/>
        <w:jc w:val="center"/>
        <w:rPr>
          <w:sz w:val="22"/>
        </w:rPr>
      </w:pPr>
      <w:r w:rsidRPr="000D4ABF">
        <w:rPr>
          <w:sz w:val="22"/>
        </w:rPr>
        <w:t xml:space="preserve"> </w:t>
      </w:r>
    </w:p>
    <w:p w:rsidR="00F11F13" w:rsidRPr="000D4ABF" w:rsidRDefault="003A0626">
      <w:pPr>
        <w:pStyle w:val="Ttulo1"/>
        <w:ind w:left="355" w:hanging="370"/>
        <w:rPr>
          <w:sz w:val="22"/>
        </w:rPr>
      </w:pPr>
      <w:r w:rsidRPr="000D4ABF">
        <w:rPr>
          <w:sz w:val="22"/>
        </w:rPr>
        <w:t>– DA JUSTIFICATIVA DA DISPENSA</w:t>
      </w:r>
    </w:p>
    <w:p w:rsidR="00477E8E" w:rsidRPr="000D4ABF" w:rsidRDefault="003A0626" w:rsidP="00F11F13">
      <w:pPr>
        <w:pStyle w:val="Ttulo1"/>
        <w:numPr>
          <w:ilvl w:val="0"/>
          <w:numId w:val="0"/>
        </w:numPr>
        <w:ind w:left="355"/>
        <w:rPr>
          <w:sz w:val="22"/>
        </w:rPr>
      </w:pPr>
      <w:r w:rsidRPr="000D4ABF">
        <w:rPr>
          <w:sz w:val="22"/>
        </w:rPr>
        <w:t xml:space="preserve"> </w:t>
      </w:r>
    </w:p>
    <w:p w:rsidR="00EB6EA5" w:rsidRPr="000D4ABF" w:rsidRDefault="003A0626">
      <w:pPr>
        <w:ind w:left="708" w:right="3" w:firstLine="0"/>
        <w:rPr>
          <w:sz w:val="22"/>
        </w:rPr>
      </w:pPr>
      <w:r w:rsidRPr="000D4ABF">
        <w:rPr>
          <w:sz w:val="22"/>
        </w:rPr>
        <w:t xml:space="preserve">Diz o art. 26 da Lei 8.666/93, em seu parágrafo único: </w:t>
      </w:r>
    </w:p>
    <w:p w:rsidR="00EB6EA5" w:rsidRPr="000D4ABF" w:rsidRDefault="003A0626">
      <w:pPr>
        <w:spacing w:after="4"/>
        <w:ind w:left="1697" w:right="4" w:hanging="10"/>
        <w:rPr>
          <w:sz w:val="22"/>
        </w:rPr>
      </w:pPr>
      <w:r w:rsidRPr="000D4ABF">
        <w:rPr>
          <w:i/>
          <w:sz w:val="22"/>
        </w:rPr>
        <w:t xml:space="preserve">“Parágrafo único – O processo de dispensa, de inexigibilidade ou de retardamento, previsto neste artigo, será instruído, no que couber, com os seguintes elementos: </w:t>
      </w:r>
    </w:p>
    <w:p w:rsidR="00EB6EA5" w:rsidRPr="000D4ABF" w:rsidRDefault="003A0626">
      <w:pPr>
        <w:numPr>
          <w:ilvl w:val="0"/>
          <w:numId w:val="1"/>
        </w:numPr>
        <w:spacing w:after="4"/>
        <w:ind w:left="1937" w:right="4" w:hanging="250"/>
        <w:rPr>
          <w:sz w:val="22"/>
        </w:rPr>
      </w:pPr>
      <w:r w:rsidRPr="000D4ABF">
        <w:rPr>
          <w:i/>
          <w:sz w:val="22"/>
        </w:rPr>
        <w:t xml:space="preserve">– caracterização da situação emergencial ou calamitosa que justifique a dispensa, quando for o caso; </w:t>
      </w:r>
    </w:p>
    <w:p w:rsidR="00EB6EA5" w:rsidRPr="000D4ABF" w:rsidRDefault="003A0626">
      <w:pPr>
        <w:numPr>
          <w:ilvl w:val="0"/>
          <w:numId w:val="1"/>
        </w:numPr>
        <w:spacing w:after="4"/>
        <w:ind w:left="1937" w:right="4" w:hanging="250"/>
        <w:rPr>
          <w:sz w:val="22"/>
        </w:rPr>
      </w:pPr>
      <w:r w:rsidRPr="000D4ABF">
        <w:rPr>
          <w:i/>
          <w:sz w:val="22"/>
        </w:rPr>
        <w:t xml:space="preserve">– razão da escolha do fornecedor ou executante; </w:t>
      </w:r>
    </w:p>
    <w:p w:rsidR="00EB6EA5" w:rsidRPr="000D4ABF" w:rsidRDefault="003A0626">
      <w:pPr>
        <w:numPr>
          <w:ilvl w:val="0"/>
          <w:numId w:val="1"/>
        </w:numPr>
        <w:spacing w:after="4"/>
        <w:ind w:left="1937" w:right="4" w:hanging="250"/>
        <w:rPr>
          <w:sz w:val="22"/>
        </w:rPr>
      </w:pPr>
      <w:r w:rsidRPr="000D4ABF">
        <w:rPr>
          <w:i/>
          <w:sz w:val="22"/>
        </w:rPr>
        <w:t xml:space="preserve">– justificativa do preço; </w:t>
      </w:r>
    </w:p>
    <w:p w:rsidR="00EB6EA5" w:rsidRPr="000D4ABF" w:rsidRDefault="003A0626">
      <w:pPr>
        <w:numPr>
          <w:ilvl w:val="0"/>
          <w:numId w:val="1"/>
        </w:numPr>
        <w:spacing w:after="4"/>
        <w:ind w:left="1937" w:right="4" w:hanging="250"/>
        <w:rPr>
          <w:sz w:val="22"/>
        </w:rPr>
      </w:pPr>
      <w:r w:rsidRPr="000D4ABF">
        <w:rPr>
          <w:i/>
          <w:sz w:val="22"/>
        </w:rPr>
        <w:t xml:space="preserve">– documentos de aprovação dos projetos de pesquisa aos quais os bens serão alocados.” </w:t>
      </w:r>
    </w:p>
    <w:p w:rsidR="00EB6EA5" w:rsidRPr="000D4ABF" w:rsidRDefault="003A0626">
      <w:pPr>
        <w:spacing w:after="22" w:line="259" w:lineRule="auto"/>
        <w:ind w:left="1702" w:right="0" w:firstLine="0"/>
        <w:jc w:val="left"/>
        <w:rPr>
          <w:sz w:val="22"/>
        </w:rPr>
      </w:pPr>
      <w:r w:rsidRPr="000D4ABF">
        <w:rPr>
          <w:i/>
          <w:sz w:val="22"/>
        </w:rPr>
        <w:lastRenderedPageBreak/>
        <w:t xml:space="preserve"> </w:t>
      </w:r>
    </w:p>
    <w:p w:rsidR="000D4ABF" w:rsidRPr="000D4ABF" w:rsidRDefault="000D4ABF" w:rsidP="000D4ABF">
      <w:pPr>
        <w:pStyle w:val="Corpodetexto"/>
        <w:spacing w:before="240" w:line="360" w:lineRule="auto"/>
        <w:ind w:right="41"/>
        <w:rPr>
          <w:sz w:val="22"/>
        </w:rPr>
      </w:pPr>
      <w:r w:rsidRPr="000D4ABF">
        <w:rPr>
          <w:b/>
          <w:sz w:val="22"/>
        </w:rPr>
        <w:t xml:space="preserve">CONSIDERANDO </w:t>
      </w:r>
      <w:r w:rsidRPr="000D4ABF">
        <w:rPr>
          <w:sz w:val="22"/>
        </w:rPr>
        <w:t>a Portaria Conjunta SED/SES/DCSC nº 750, de 25 de setembro de 2020, que determina a elaboração dos Planos de Contingência Municipal e Escolares para a Educação COVID- 19, a homologação dos Planos Escolares e a organização dos Comitês Municipais e Comissões Escolares para o gerenciamento da COVID-19 para Educação;</w:t>
      </w:r>
    </w:p>
    <w:p w:rsidR="000D4ABF" w:rsidRPr="000D4ABF" w:rsidRDefault="000D4ABF" w:rsidP="000D4ABF">
      <w:pPr>
        <w:pStyle w:val="Corpodetexto"/>
        <w:spacing w:before="240" w:line="360" w:lineRule="auto"/>
        <w:ind w:right="41"/>
        <w:rPr>
          <w:sz w:val="22"/>
        </w:rPr>
      </w:pPr>
      <w:r w:rsidRPr="000D4ABF">
        <w:rPr>
          <w:b/>
          <w:sz w:val="22"/>
        </w:rPr>
        <w:t xml:space="preserve">CONSIDERANDO </w:t>
      </w:r>
      <w:r w:rsidRPr="000D4ABF">
        <w:rPr>
          <w:sz w:val="22"/>
        </w:rPr>
        <w:t>a Portaria nº 592, de 17 de agosto de 2020, que estabelece critérios de funcionamento das atividades de interesse regional e local, bem como as medidas de enfrentamento da COVID-19, de acordo com os níveis de risco da Avaliação do Risco Potencial Regional das regiões de saúde, e suas</w:t>
      </w:r>
      <w:r w:rsidRPr="000D4ABF">
        <w:rPr>
          <w:spacing w:val="-15"/>
          <w:sz w:val="22"/>
        </w:rPr>
        <w:t xml:space="preserve"> </w:t>
      </w:r>
      <w:r w:rsidRPr="000D4ABF">
        <w:rPr>
          <w:sz w:val="22"/>
        </w:rPr>
        <w:t>atualizações;</w:t>
      </w:r>
    </w:p>
    <w:p w:rsidR="000D4ABF" w:rsidRPr="000D4ABF" w:rsidRDefault="000D4ABF" w:rsidP="000D4ABF">
      <w:pPr>
        <w:pStyle w:val="Corpodetexto"/>
        <w:spacing w:before="240" w:after="240" w:line="360" w:lineRule="auto"/>
        <w:ind w:right="41"/>
        <w:rPr>
          <w:sz w:val="22"/>
        </w:rPr>
      </w:pPr>
      <w:r w:rsidRPr="000D4ABF">
        <w:rPr>
          <w:b/>
          <w:sz w:val="22"/>
        </w:rPr>
        <w:t xml:space="preserve">CONSIDERANDO </w:t>
      </w:r>
      <w:r w:rsidRPr="000D4ABF">
        <w:rPr>
          <w:sz w:val="22"/>
        </w:rPr>
        <w:t>a lei 18.032/2020, de 8 de dezembro de 2020, que considera a educação como atividade essencial durante a pandemia da COVID-19;</w:t>
      </w:r>
    </w:p>
    <w:p w:rsidR="000D4ABF" w:rsidRPr="000D4ABF" w:rsidRDefault="000D4ABF" w:rsidP="000D4ABF">
      <w:pPr>
        <w:spacing w:line="360" w:lineRule="auto"/>
        <w:rPr>
          <w:rFonts w:cs="Arial"/>
          <w:sz w:val="22"/>
        </w:rPr>
      </w:pPr>
      <w:r w:rsidRPr="000D4ABF">
        <w:rPr>
          <w:rFonts w:cs="Arial"/>
          <w:b/>
          <w:sz w:val="22"/>
        </w:rPr>
        <w:t>CONSIDERANDO</w:t>
      </w:r>
      <w:r w:rsidRPr="000D4ABF">
        <w:rPr>
          <w:rFonts w:cs="Arial"/>
          <w:sz w:val="22"/>
        </w:rPr>
        <w:t xml:space="preserve"> a situação de obrigatoriedade de retorno às aulas em formato presencial e primando por fazer essa retomada de maneira segura, seguindo as normativas preconizadas pela Portaria Conjunta SES/SED nº 983/2020, em seu Art. 16º, a respeito do uso de protetores faciais </w:t>
      </w:r>
      <w:r w:rsidRPr="000D4ABF">
        <w:rPr>
          <w:rFonts w:cs="Arial"/>
          <w:i/>
          <w:sz w:val="22"/>
        </w:rPr>
        <w:t>face shield:</w:t>
      </w:r>
    </w:p>
    <w:p w:rsidR="000D4ABF" w:rsidRPr="000D4ABF" w:rsidRDefault="000D4ABF" w:rsidP="000D4ABF">
      <w:pPr>
        <w:pStyle w:val="Corpodetexto"/>
        <w:ind w:left="2268"/>
        <w:rPr>
          <w:sz w:val="22"/>
        </w:rPr>
      </w:pPr>
      <w:r w:rsidRPr="000D4ABF">
        <w:rPr>
          <w:b/>
          <w:sz w:val="22"/>
        </w:rPr>
        <w:t xml:space="preserve">Art. 16º </w:t>
      </w:r>
      <w:r w:rsidRPr="000D4ABF">
        <w:rPr>
          <w:sz w:val="22"/>
        </w:rPr>
        <w:t xml:space="preserve">Cada estabelecimento de ensino </w:t>
      </w:r>
      <w:r w:rsidRPr="000D4ABF">
        <w:rPr>
          <w:b/>
          <w:sz w:val="22"/>
        </w:rPr>
        <w:t xml:space="preserve">deverá </w:t>
      </w:r>
      <w:r w:rsidRPr="000D4ABF">
        <w:rPr>
          <w:i/>
          <w:sz w:val="22"/>
        </w:rPr>
        <w:t>(grifo posto)</w:t>
      </w:r>
      <w:r w:rsidRPr="000D4ABF">
        <w:rPr>
          <w:b/>
          <w:sz w:val="22"/>
        </w:rPr>
        <w:t xml:space="preserve"> </w:t>
      </w:r>
      <w:r w:rsidRPr="000D4ABF">
        <w:rPr>
          <w:sz w:val="22"/>
        </w:rPr>
        <w:t>organizar em seu Plano de Contingência as seguintes medidas de proteção contra a infecção da COVID-19 em trabalhadores, a fim de combater e mitigar o contágio da COVID-19:</w:t>
      </w:r>
    </w:p>
    <w:p w:rsidR="000D4ABF" w:rsidRPr="000D4ABF" w:rsidRDefault="000D4ABF" w:rsidP="000D4ABF">
      <w:pPr>
        <w:pStyle w:val="Corpodetexto"/>
        <w:ind w:left="2268"/>
        <w:rPr>
          <w:sz w:val="22"/>
        </w:rPr>
      </w:pPr>
      <w:r w:rsidRPr="000D4ABF">
        <w:rPr>
          <w:sz w:val="22"/>
        </w:rPr>
        <w:t xml:space="preserve">III.Manter uma distância de, no mínimo, 1,5 m (um metro e meio) entre os trabalhadores. Se não houver como atender a esta distância, instalar barreiras físicas nas estações de trabalho </w:t>
      </w:r>
      <w:r w:rsidRPr="000D4ABF">
        <w:rPr>
          <w:spacing w:val="-6"/>
          <w:sz w:val="22"/>
        </w:rPr>
        <w:t xml:space="preserve">ou </w:t>
      </w:r>
      <w:r w:rsidRPr="000D4ABF">
        <w:rPr>
          <w:sz w:val="22"/>
        </w:rPr>
        <w:t xml:space="preserve">proteção com protetor facial rígido (tipo </w:t>
      </w:r>
      <w:r w:rsidRPr="000D4ABF">
        <w:rPr>
          <w:i/>
          <w:sz w:val="22"/>
        </w:rPr>
        <w:t>face shield</w:t>
      </w:r>
      <w:r w:rsidRPr="000D4ABF">
        <w:rPr>
          <w:sz w:val="22"/>
        </w:rPr>
        <w:t>), além do uso da</w:t>
      </w:r>
      <w:r w:rsidRPr="000D4ABF">
        <w:rPr>
          <w:spacing w:val="-1"/>
          <w:sz w:val="22"/>
        </w:rPr>
        <w:t xml:space="preserve"> </w:t>
      </w:r>
      <w:r w:rsidRPr="000D4ABF">
        <w:rPr>
          <w:sz w:val="22"/>
        </w:rPr>
        <w:t>máscara;</w:t>
      </w:r>
    </w:p>
    <w:p w:rsidR="000D4ABF" w:rsidRPr="000D4ABF" w:rsidRDefault="000D4ABF" w:rsidP="000D4ABF">
      <w:pPr>
        <w:ind w:firstLine="709"/>
        <w:rPr>
          <w:rFonts w:cs="Arial"/>
          <w:sz w:val="22"/>
        </w:rPr>
      </w:pPr>
    </w:p>
    <w:p w:rsidR="000D4ABF" w:rsidRPr="000D4ABF" w:rsidRDefault="000D4ABF" w:rsidP="000D4ABF">
      <w:pPr>
        <w:ind w:firstLine="709"/>
        <w:rPr>
          <w:rFonts w:cs="Arial"/>
          <w:sz w:val="22"/>
        </w:rPr>
      </w:pPr>
      <w:r w:rsidRPr="000D4ABF">
        <w:rPr>
          <w:rFonts w:cs="Arial"/>
          <w:sz w:val="22"/>
        </w:rPr>
        <w:t>No capítulo V, seção III, Item XVI, a Portaria Conjunta SES, SED, nº 983/2020, exige que:</w:t>
      </w:r>
    </w:p>
    <w:p w:rsidR="000D4ABF" w:rsidRPr="000D4ABF" w:rsidRDefault="000D4ABF" w:rsidP="000D4ABF">
      <w:pPr>
        <w:ind w:firstLine="709"/>
        <w:rPr>
          <w:rFonts w:cs="Arial"/>
          <w:sz w:val="22"/>
        </w:rPr>
      </w:pPr>
    </w:p>
    <w:p w:rsidR="000D4ABF" w:rsidRPr="000D4ABF" w:rsidRDefault="000D4ABF" w:rsidP="000D4ABF">
      <w:pPr>
        <w:tabs>
          <w:tab w:val="left" w:pos="1862"/>
        </w:tabs>
        <w:suppressAutoHyphens/>
        <w:spacing w:line="240" w:lineRule="auto"/>
        <w:ind w:right="41"/>
        <w:rPr>
          <w:rFonts w:cs="Arial"/>
          <w:spacing w:val="-4"/>
          <w:sz w:val="22"/>
        </w:rPr>
      </w:pPr>
      <w:r w:rsidRPr="000D4ABF">
        <w:rPr>
          <w:rFonts w:cs="Arial"/>
          <w:sz w:val="22"/>
        </w:rPr>
        <w:t xml:space="preserve">XIV.Aferir a temperatura de todas as pessoas (alunos, trabalhadores e visitantes) previamente ao seu ingresso nas dependências do estabelecimento de ensino, por meio </w:t>
      </w:r>
      <w:r w:rsidRPr="000D4ABF">
        <w:rPr>
          <w:rFonts w:cs="Arial"/>
          <w:spacing w:val="-6"/>
          <w:sz w:val="22"/>
        </w:rPr>
        <w:t xml:space="preserve">de </w:t>
      </w:r>
      <w:r w:rsidRPr="000D4ABF">
        <w:rPr>
          <w:rFonts w:cs="Arial"/>
          <w:sz w:val="22"/>
        </w:rPr>
        <w:t>termômetro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z w:val="22"/>
        </w:rPr>
        <w:t>digital infravermelho,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z w:val="22"/>
        </w:rPr>
        <w:t>vedando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z w:val="22"/>
        </w:rPr>
        <w:t>a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z w:val="22"/>
        </w:rPr>
        <w:t>entrada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z w:val="22"/>
        </w:rPr>
        <w:t>daquela</w:t>
      </w:r>
      <w:r w:rsidRPr="000D4ABF">
        <w:rPr>
          <w:rFonts w:cs="Arial"/>
          <w:spacing w:val="29"/>
          <w:sz w:val="22"/>
        </w:rPr>
        <w:t xml:space="preserve"> </w:t>
      </w:r>
      <w:r w:rsidRPr="000D4ABF">
        <w:rPr>
          <w:rFonts w:cs="Arial"/>
          <w:spacing w:val="-4"/>
          <w:sz w:val="22"/>
        </w:rPr>
        <w:t>cuja temperatura registrada seja igual ou superior a 37,8ºC (trinta e sete vírgula oito graus Celsius);</w:t>
      </w:r>
    </w:p>
    <w:p w:rsidR="000D4ABF" w:rsidRPr="000D4ABF" w:rsidRDefault="000D4ABF" w:rsidP="000D4ABF">
      <w:pPr>
        <w:tabs>
          <w:tab w:val="left" w:pos="1862"/>
        </w:tabs>
        <w:suppressAutoHyphens/>
        <w:spacing w:line="240" w:lineRule="auto"/>
        <w:ind w:right="869"/>
        <w:rPr>
          <w:rFonts w:cs="Arial"/>
          <w:sz w:val="22"/>
        </w:rPr>
        <w:sectPr w:rsidR="000D4ABF" w:rsidRPr="000D4ABF">
          <w:headerReference w:type="default" r:id="rId7"/>
          <w:pgSz w:w="11906" w:h="16838"/>
          <w:pgMar w:top="1320" w:right="1680" w:bottom="280" w:left="1680" w:header="0" w:footer="0" w:gutter="0"/>
          <w:cols w:space="720"/>
          <w:formProt w:val="0"/>
          <w:docGrid w:linePitch="100" w:charSpace="4096"/>
        </w:sectPr>
      </w:pPr>
    </w:p>
    <w:p w:rsidR="000D4ABF" w:rsidRPr="000D4ABF" w:rsidRDefault="000D4ABF" w:rsidP="000D4ABF">
      <w:pPr>
        <w:ind w:firstLine="709"/>
        <w:rPr>
          <w:rFonts w:cs="Arial"/>
          <w:sz w:val="22"/>
        </w:rPr>
      </w:pPr>
      <w:r w:rsidRPr="000D4ABF">
        <w:rPr>
          <w:rFonts w:cs="Arial"/>
          <w:sz w:val="22"/>
        </w:rPr>
        <w:t>Na mesma subseção, item II, que contempla as Diretrizes Sanitárias para o Transporte Escolar, recomenda-se:</w:t>
      </w:r>
    </w:p>
    <w:p w:rsidR="000D4ABF" w:rsidRPr="000D4ABF" w:rsidRDefault="000D4ABF" w:rsidP="000D4ABF">
      <w:pPr>
        <w:ind w:firstLine="709"/>
        <w:rPr>
          <w:rFonts w:cs="Arial"/>
          <w:sz w:val="22"/>
        </w:rPr>
      </w:pPr>
    </w:p>
    <w:p w:rsidR="000D4ABF" w:rsidRPr="000D4ABF" w:rsidRDefault="000D4ABF" w:rsidP="000D4ABF">
      <w:pPr>
        <w:spacing w:line="240" w:lineRule="auto"/>
        <w:ind w:left="2268"/>
        <w:rPr>
          <w:rFonts w:cs="Arial"/>
          <w:sz w:val="22"/>
        </w:rPr>
      </w:pPr>
      <w:r w:rsidRPr="000D4ABF">
        <w:rPr>
          <w:rFonts w:cs="Arial"/>
          <w:sz w:val="22"/>
        </w:rPr>
        <w:t>II-Os motoristas/monitores deverão realizar a aferição da temperatura corporal dos estudantes, antes de adentrarem no transporte escolar, com uso de termômetros infravermelhos ou outro instrumento correlato fornecido pela Secretaria Municipal de Educação. Aferida a temperatura de 37,8º (trinta e sete vírgula oito graus Celsius) ou superior, não será permitida a entrada no transporte;</w:t>
      </w:r>
    </w:p>
    <w:p w:rsidR="000D4ABF" w:rsidRPr="000D4ABF" w:rsidRDefault="000D4ABF" w:rsidP="000D4ABF">
      <w:pPr>
        <w:spacing w:line="360" w:lineRule="auto"/>
        <w:ind w:firstLine="709"/>
        <w:rPr>
          <w:rFonts w:cs="Arial"/>
          <w:sz w:val="22"/>
        </w:rPr>
      </w:pPr>
    </w:p>
    <w:p w:rsidR="000D4ABF" w:rsidRPr="000D4ABF" w:rsidRDefault="000D4ABF" w:rsidP="000D4ABF">
      <w:pPr>
        <w:spacing w:line="360" w:lineRule="auto"/>
        <w:ind w:firstLine="709"/>
        <w:rPr>
          <w:rFonts w:cs="Arial"/>
          <w:sz w:val="22"/>
        </w:rPr>
      </w:pPr>
      <w:r w:rsidRPr="000D4ABF">
        <w:rPr>
          <w:rFonts w:cs="Arial"/>
          <w:sz w:val="22"/>
        </w:rPr>
        <w:t>Essas medidas estão reforçadas na Nota Informativa nº 002/2021 DIVE/SUVSES/SED/SC, que contém orientações técnicas de casos suspeitos ou confirmados de COVID-19 para servidores e estudantes dos estabelecimentos de Ensino da Educação Básica.</w:t>
      </w:r>
    </w:p>
    <w:p w:rsidR="00EB6EA5" w:rsidRPr="000D4ABF" w:rsidRDefault="00EB6EA5" w:rsidP="002D55D4">
      <w:pPr>
        <w:spacing w:line="259" w:lineRule="auto"/>
        <w:ind w:right="0" w:firstLine="0"/>
        <w:jc w:val="left"/>
        <w:rPr>
          <w:sz w:val="22"/>
        </w:rPr>
      </w:pPr>
    </w:p>
    <w:p w:rsidR="00EB6EA5" w:rsidRPr="000D4ABF" w:rsidRDefault="000D4ABF">
      <w:pPr>
        <w:ind w:left="-15" w:right="3"/>
        <w:rPr>
          <w:sz w:val="22"/>
        </w:rPr>
      </w:pPr>
      <w:r w:rsidRPr="000D4ABF">
        <w:rPr>
          <w:sz w:val="22"/>
        </w:rPr>
        <w:t xml:space="preserve">A </w:t>
      </w:r>
      <w:r w:rsidR="003A0626" w:rsidRPr="000D4ABF">
        <w:rPr>
          <w:sz w:val="22"/>
        </w:rPr>
        <w:t xml:space="preserve">contratação direta, por dispensa, encontra respaldo no inciso IV do artigo 24 da Lei nº 8.666/93. Nesse sentido, cabe trazer à baila o entendimento do escritor Niebuhr (2003): </w:t>
      </w:r>
    </w:p>
    <w:p w:rsidR="00EB6EA5" w:rsidRPr="000D4ABF" w:rsidRDefault="003A0626">
      <w:pPr>
        <w:spacing w:line="259" w:lineRule="auto"/>
        <w:ind w:left="708" w:right="0" w:firstLine="0"/>
        <w:jc w:val="left"/>
        <w:rPr>
          <w:sz w:val="22"/>
        </w:rPr>
      </w:pPr>
      <w:r w:rsidRPr="000D4ABF">
        <w:rPr>
          <w:sz w:val="22"/>
        </w:rPr>
        <w:t xml:space="preserve"> </w:t>
      </w:r>
    </w:p>
    <w:p w:rsidR="00052E8F" w:rsidRPr="000D4ABF" w:rsidRDefault="003A0626">
      <w:pPr>
        <w:spacing w:after="4"/>
        <w:ind w:left="1697" w:right="0" w:hanging="10"/>
        <w:rPr>
          <w:sz w:val="22"/>
        </w:rPr>
      </w:pPr>
      <w:r w:rsidRPr="000D4ABF">
        <w:rPr>
          <w:sz w:val="22"/>
        </w:rPr>
        <w:t xml:space="preserve">A propósito, a redação dada ao inciso em comento é bastante clara ao autorizar a dispensa nos casos de emergência ou calamidade, </w:t>
      </w:r>
      <w:r w:rsidRPr="000D4ABF">
        <w:rPr>
          <w:i/>
          <w:sz w:val="22"/>
        </w:rPr>
        <w:t>quando caracterizada urgência de atendimento de situação que possa ocasionar prejuízo ou comprometer a segurança das pessoas, obras, serviços, equipamentos e outros bens públicos ou particulares</w:t>
      </w:r>
      <w:r w:rsidRPr="000D4ABF">
        <w:rPr>
          <w:sz w:val="22"/>
        </w:rPr>
        <w:t xml:space="preserve">. Dessa sorte, o que sobreleva na redação do inciso não é simplesmente a emergência ou a calamidade pública, mas a situação de </w:t>
      </w:r>
      <w:r w:rsidRPr="000D4ABF">
        <w:rPr>
          <w:i/>
          <w:sz w:val="22"/>
        </w:rPr>
        <w:t xml:space="preserve">urgência </w:t>
      </w:r>
      <w:r w:rsidRPr="000D4ABF">
        <w:rPr>
          <w:sz w:val="22"/>
        </w:rPr>
        <w:t xml:space="preserve">por elas provocada, que requerem a contratação imediata de determinado objeto, sem o qual o interesse público seria desatendido. (NIEBUHR, Joel de Menezes. </w:t>
      </w:r>
      <w:r w:rsidRPr="000D4ABF">
        <w:rPr>
          <w:i/>
          <w:sz w:val="22"/>
        </w:rPr>
        <w:t xml:space="preserve">Dispensa e Inexigibilidade de Licitação Pública. </w:t>
      </w:r>
      <w:r w:rsidRPr="000D4ABF">
        <w:rPr>
          <w:sz w:val="22"/>
        </w:rPr>
        <w:t>São Paulo: Dialética, 2003. p. 277).</w:t>
      </w:r>
    </w:p>
    <w:p w:rsidR="00EB6EA5" w:rsidRPr="000D4ABF" w:rsidRDefault="003A0626">
      <w:pPr>
        <w:spacing w:after="4"/>
        <w:ind w:left="1697" w:right="0" w:hanging="10"/>
        <w:rPr>
          <w:sz w:val="22"/>
        </w:rPr>
      </w:pPr>
      <w:r w:rsidRPr="000D4ABF">
        <w:rPr>
          <w:sz w:val="22"/>
        </w:rPr>
        <w:t xml:space="preserve">  </w:t>
      </w:r>
    </w:p>
    <w:p w:rsidR="00EB6EA5" w:rsidRPr="000D4ABF" w:rsidRDefault="003A0626">
      <w:pPr>
        <w:ind w:left="-15" w:right="3"/>
        <w:rPr>
          <w:sz w:val="22"/>
        </w:rPr>
      </w:pPr>
      <w:r w:rsidRPr="000D4ABF">
        <w:rPr>
          <w:sz w:val="22"/>
        </w:rPr>
        <w:t xml:space="preserve">Ademais, conforme entendimento do Tribunal de Contas da União, configurado o risco para pessoas, obras, serviços, bens e equipamentos públicos ou particulares, admite-se a contratação direta emergencial, vejamos: </w:t>
      </w:r>
    </w:p>
    <w:p w:rsidR="00EB6EA5" w:rsidRPr="000D4ABF" w:rsidRDefault="003A0626">
      <w:pPr>
        <w:spacing w:line="259" w:lineRule="auto"/>
        <w:ind w:left="840" w:right="0" w:firstLine="0"/>
        <w:jc w:val="left"/>
        <w:rPr>
          <w:sz w:val="22"/>
        </w:rPr>
      </w:pPr>
      <w:r w:rsidRPr="000D4ABF">
        <w:rPr>
          <w:sz w:val="22"/>
        </w:rPr>
        <w:t xml:space="preserve"> </w:t>
      </w:r>
    </w:p>
    <w:p w:rsidR="00EB6EA5" w:rsidRPr="000D4ABF" w:rsidRDefault="003A0626">
      <w:pPr>
        <w:spacing w:after="4"/>
        <w:ind w:left="1697" w:right="0" w:hanging="10"/>
        <w:rPr>
          <w:sz w:val="22"/>
        </w:rPr>
      </w:pPr>
      <w:r w:rsidRPr="000D4ABF">
        <w:rPr>
          <w:sz w:val="22"/>
        </w:rPr>
        <w:t xml:space="preserve">“REPRESENTAÇÃO DE UNIDADE TÉCNICA. CONTRATAÇÃO FUNDAMENTADA EM SITUAÇÃO EMERGENCIAL. </w:t>
      </w:r>
    </w:p>
    <w:p w:rsidR="00EB6EA5" w:rsidRPr="000D4ABF" w:rsidRDefault="003A0626">
      <w:pPr>
        <w:spacing w:after="4"/>
        <w:ind w:left="1697" w:right="0" w:hanging="10"/>
        <w:rPr>
          <w:sz w:val="22"/>
        </w:rPr>
      </w:pPr>
      <w:r w:rsidRPr="000D4ABF">
        <w:rPr>
          <w:sz w:val="22"/>
        </w:rPr>
        <w:t xml:space="preserve">CONHECIMENTO. IMPROCEDÊNCIA. 1. A situação prevista no art. 24 IV, da Lei n 8.666/93 não distingue a emergência real, resultante do imprevisível, daquela resultante da incúria ou inércia administrativa, sendo cabível, em ambas as hipóteses, a contratação direta, desde que </w:t>
      </w:r>
      <w:r w:rsidRPr="000D4ABF">
        <w:rPr>
          <w:sz w:val="22"/>
        </w:rPr>
        <w:lastRenderedPageBreak/>
        <w:t xml:space="preserve">devidamente caracterizada a urgência de atendimento a situação que possa ocasionar prejuízo ou comprometer a segurança de pessoas, obras, serviços, equipamentos e outros bens, públicos ou particulares. 2. A incúria ou inércia administrativa caracteriza-se em relação ao comportamento individual de determinado agente público, não sendo possível </w:t>
      </w:r>
      <w:r w:rsidR="00317FF9" w:rsidRPr="000D4ABF">
        <w:rPr>
          <w:sz w:val="22"/>
        </w:rPr>
        <w:t>falar-se</w:t>
      </w:r>
      <w:r w:rsidRPr="000D4ABF">
        <w:rPr>
          <w:sz w:val="22"/>
        </w:rPr>
        <w:t xml:space="preserve"> da existência de tais situações de forma genérica, sem individualização de </w:t>
      </w:r>
      <w:r w:rsidR="00317FF9" w:rsidRPr="000D4ABF">
        <w:rPr>
          <w:sz w:val="22"/>
        </w:rPr>
        <w:t>culpas. ”</w:t>
      </w:r>
      <w:r w:rsidRPr="000D4ABF">
        <w:rPr>
          <w:sz w:val="22"/>
        </w:rPr>
        <w:t xml:space="preserve"> (TCU, TC 006.399/2008-2, Acórdão nº 1138/2011, Relator Min. UBIRATAN AGUIAR, Plenário, julgado em </w:t>
      </w:r>
    </w:p>
    <w:p w:rsidR="00EB6EA5" w:rsidRPr="000D4ABF" w:rsidRDefault="003A0626">
      <w:pPr>
        <w:spacing w:after="4"/>
        <w:ind w:left="1697" w:right="0" w:hanging="10"/>
        <w:rPr>
          <w:sz w:val="22"/>
        </w:rPr>
      </w:pPr>
      <w:r w:rsidRPr="000D4ABF">
        <w:rPr>
          <w:sz w:val="22"/>
        </w:rPr>
        <w:t xml:space="preserve">04.05.2011).” </w:t>
      </w:r>
    </w:p>
    <w:p w:rsidR="00EB6EA5" w:rsidRPr="000D4ABF" w:rsidRDefault="003A0626">
      <w:pPr>
        <w:spacing w:after="20" w:line="259" w:lineRule="auto"/>
        <w:ind w:left="1702" w:right="0" w:firstLine="0"/>
        <w:jc w:val="left"/>
        <w:rPr>
          <w:sz w:val="22"/>
        </w:rPr>
      </w:pPr>
      <w:r w:rsidRPr="000D4ABF">
        <w:rPr>
          <w:sz w:val="22"/>
        </w:rPr>
        <w:t xml:space="preserve"> </w:t>
      </w:r>
    </w:p>
    <w:p w:rsidR="00213EF5" w:rsidRPr="000D4ABF" w:rsidRDefault="00213EF5" w:rsidP="00213EF5">
      <w:pPr>
        <w:ind w:firstLine="708"/>
        <w:rPr>
          <w:rFonts w:cs="Calibri"/>
          <w:iCs/>
          <w:sz w:val="22"/>
        </w:rPr>
      </w:pPr>
      <w:r w:rsidRPr="000D4ABF">
        <w:rPr>
          <w:rFonts w:cs="Calibri"/>
          <w:iCs/>
          <w:sz w:val="22"/>
        </w:rPr>
        <w:t>Observa-se</w:t>
      </w:r>
      <w:r w:rsidRPr="000D4ABF">
        <w:rPr>
          <w:rFonts w:cs="Calibri"/>
          <w:b/>
          <w:iCs/>
          <w:sz w:val="22"/>
        </w:rPr>
        <w:t xml:space="preserve"> </w:t>
      </w:r>
      <w:r w:rsidRPr="000D4ABF">
        <w:rPr>
          <w:rFonts w:cs="Calibri"/>
          <w:iCs/>
          <w:sz w:val="22"/>
        </w:rPr>
        <w:t>que, a saúde é direito de todos e dever do Estado, garantido mediante determinadas ações e políticas públicas à redução do risco de doença e de outros agravos e ao acesso universal e igualitário às ações e serviços para sua promoção, proteção e recuperação, na forma do artigo 196 da Constituição da República.</w:t>
      </w:r>
    </w:p>
    <w:p w:rsidR="005A08C6" w:rsidRPr="000D4ABF" w:rsidRDefault="005A08C6" w:rsidP="00213EF5">
      <w:pPr>
        <w:ind w:firstLine="708"/>
        <w:rPr>
          <w:rFonts w:cs="Calibri"/>
          <w:iCs/>
          <w:sz w:val="22"/>
        </w:rPr>
      </w:pPr>
    </w:p>
    <w:p w:rsidR="002D55D4" w:rsidRPr="002D55D4" w:rsidRDefault="00213EF5" w:rsidP="002D55D4">
      <w:pPr>
        <w:pStyle w:val="Corpodetexto3"/>
        <w:widowControl w:val="0"/>
        <w:ind w:firstLine="708"/>
        <w:outlineLvl w:val="0"/>
        <w:rPr>
          <w:rFonts w:ascii="Bookman Old Style" w:hAnsi="Bookman Old Style"/>
          <w:sz w:val="22"/>
          <w:szCs w:val="22"/>
        </w:rPr>
      </w:pPr>
      <w:r w:rsidRPr="000D4ABF">
        <w:rPr>
          <w:rFonts w:ascii="Bookman Old Style" w:hAnsi="Bookman Old Style"/>
          <w:sz w:val="22"/>
          <w:szCs w:val="22"/>
        </w:rPr>
        <w:t xml:space="preserve">Em síntese, dada à importância da aquisição e a peculiaridade da situação em análise, urge reconhecer a necessidade a ser contratada como </w:t>
      </w:r>
      <w:r w:rsidRPr="000D4ABF">
        <w:rPr>
          <w:rStyle w:val="nfase"/>
          <w:rFonts w:ascii="Bookman Old Style" w:hAnsi="Bookman Old Style"/>
          <w:sz w:val="22"/>
          <w:szCs w:val="22"/>
        </w:rPr>
        <w:t>emergencial</w:t>
      </w:r>
      <w:r w:rsidRPr="000D4ABF">
        <w:rPr>
          <w:rFonts w:ascii="Bookman Old Style" w:hAnsi="Bookman Old Style"/>
          <w:sz w:val="22"/>
          <w:szCs w:val="22"/>
        </w:rPr>
        <w:t xml:space="preserve"> razão pela qual cabe a contratação direta para aquisição do objeto em questão, </w:t>
      </w:r>
      <w:bookmarkStart w:id="0" w:name="_GoBack"/>
      <w:bookmarkEnd w:id="0"/>
      <w:r w:rsidR="002D55D4" w:rsidRPr="000D4ABF">
        <w:rPr>
          <w:rFonts w:ascii="Bookman Old Style" w:hAnsi="Bookman Old Style" w:cs="Arial"/>
          <w:sz w:val="22"/>
          <w:szCs w:val="22"/>
        </w:rPr>
        <w:t xml:space="preserve">primando pela prevenção e cuidados com a saúde tanto dos alunos quanto dos profissionais de educação e envolvidos no transporte escolar. </w:t>
      </w:r>
    </w:p>
    <w:p w:rsidR="008B453E" w:rsidRDefault="008B453E" w:rsidP="00213EF5">
      <w:pPr>
        <w:pStyle w:val="Corpodetexto3"/>
        <w:widowControl w:val="0"/>
        <w:ind w:firstLine="708"/>
        <w:outlineLvl w:val="0"/>
        <w:rPr>
          <w:rFonts w:ascii="Bookman Old Style" w:hAnsi="Bookman Old Style"/>
          <w:szCs w:val="24"/>
        </w:rPr>
      </w:pPr>
    </w:p>
    <w:p w:rsidR="00EB6EA5" w:rsidRDefault="00EB6EA5">
      <w:pPr>
        <w:spacing w:line="259" w:lineRule="auto"/>
        <w:ind w:right="0" w:firstLine="0"/>
        <w:jc w:val="left"/>
      </w:pPr>
    </w:p>
    <w:p w:rsidR="00EB6EA5" w:rsidRDefault="003A0626">
      <w:pPr>
        <w:pStyle w:val="Ttulo1"/>
        <w:ind w:left="338" w:hanging="353"/>
        <w:rPr>
          <w:b w:val="0"/>
        </w:rPr>
      </w:pPr>
      <w:r>
        <w:t>- DA ESCOLHA DO FORNECEDOR OU EXECUTANTE</w:t>
      </w:r>
      <w:r>
        <w:rPr>
          <w:b w:val="0"/>
        </w:rPr>
        <w:t xml:space="preserve"> </w:t>
      </w:r>
    </w:p>
    <w:p w:rsidR="005775BA" w:rsidRPr="005775BA" w:rsidRDefault="005775BA" w:rsidP="005775BA"/>
    <w:p w:rsidR="00EB6EA5" w:rsidRDefault="003A0626">
      <w:pPr>
        <w:ind w:left="-15" w:right="3" w:firstLine="0"/>
      </w:pPr>
      <w:r>
        <w:t xml:space="preserve">  A profissional escolhida para sacramentar a contratação do objeto pretendido foi:  </w:t>
      </w:r>
    </w:p>
    <w:p w:rsidR="00785343" w:rsidRDefault="00785343">
      <w:pPr>
        <w:ind w:left="-15" w:right="3" w:firstLine="0"/>
      </w:pPr>
    </w:p>
    <w:p w:rsidR="00EB6EA5" w:rsidRDefault="003A0626">
      <w:pPr>
        <w:ind w:left="-15" w:right="3" w:firstLine="0"/>
      </w:pPr>
      <w:r>
        <w:t xml:space="preserve"> ● </w:t>
      </w:r>
      <w:r w:rsidR="005775BA">
        <w:rPr>
          <w:b/>
        </w:rPr>
        <w:t>KLEIN LIVROS E JOGOS EDUCATIVOS LTDA</w:t>
      </w:r>
      <w:r>
        <w:t>, inscrit</w:t>
      </w:r>
      <w:r w:rsidR="00774A31">
        <w:t>a</w:t>
      </w:r>
      <w:r>
        <w:t xml:space="preserve"> no </w:t>
      </w:r>
      <w:r w:rsidR="004037D9">
        <w:t>CNPJ</w:t>
      </w:r>
      <w:r>
        <w:t xml:space="preserve"> n. </w:t>
      </w:r>
      <w:r w:rsidR="005775BA">
        <w:t>72.380.330/0001-60</w:t>
      </w:r>
      <w:r>
        <w:t xml:space="preserve">, </w:t>
      </w:r>
      <w:r w:rsidR="0032244D">
        <w:t xml:space="preserve">estabelecida na rua </w:t>
      </w:r>
      <w:r w:rsidR="005775BA">
        <w:t>Av. Porto Alegre, n° 955 D – sala 11, centro em Chapecó/SC.</w:t>
      </w:r>
    </w:p>
    <w:p w:rsidR="00EB6EA5" w:rsidRDefault="003A0626">
      <w:pPr>
        <w:spacing w:line="259" w:lineRule="auto"/>
        <w:ind w:left="1361" w:right="0" w:firstLine="0"/>
        <w:jc w:val="left"/>
      </w:pPr>
      <w:r>
        <w:t xml:space="preserve"> </w:t>
      </w:r>
    </w:p>
    <w:p w:rsidR="00EB6EA5" w:rsidRDefault="003A0626">
      <w:pPr>
        <w:pStyle w:val="Ttulo1"/>
        <w:ind w:left="242" w:hanging="257"/>
      </w:pPr>
      <w:r>
        <w:rPr>
          <w:i/>
        </w:rPr>
        <w:t xml:space="preserve">– </w:t>
      </w:r>
      <w:r>
        <w:t>DA RA</w:t>
      </w:r>
      <w:r w:rsidR="00351278">
        <w:t xml:space="preserve">ZÃO DA ESCOLHA DO FORNECEDOR OU </w:t>
      </w:r>
      <w:r>
        <w:t xml:space="preserve">EXECUTANTE </w:t>
      </w:r>
    </w:p>
    <w:p w:rsidR="005775BA" w:rsidRPr="005775BA" w:rsidRDefault="005775BA" w:rsidP="005775BA"/>
    <w:p w:rsidR="00EB0699" w:rsidRDefault="00EB0699" w:rsidP="00EB0699">
      <w:pPr>
        <w:pStyle w:val="Default"/>
        <w:ind w:firstLine="6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Em análise aos presentes autos, foram realizadas pesquisas de preços junto a três empresas, tendo a empresa escolhida apresentado o menor preço. </w:t>
      </w:r>
    </w:p>
    <w:p w:rsidR="00EB6EA5" w:rsidRDefault="00EB0699" w:rsidP="00EB0699">
      <w:pPr>
        <w:ind w:left="-15" w:right="3"/>
      </w:pPr>
      <w:r>
        <w:rPr>
          <w:sz w:val="23"/>
          <w:szCs w:val="23"/>
        </w:rPr>
        <w:t>A Contratação da empresa supracitada é compatível e não apresenta diferença que venha a influenciar na escolha, ficando está vinculada apenas à verificação do critério do menor preço.</w:t>
      </w:r>
      <w:r w:rsidR="003A0626">
        <w:t xml:space="preserve"> </w:t>
      </w:r>
    </w:p>
    <w:p w:rsidR="00EB6EA5" w:rsidRDefault="003A0626">
      <w:pPr>
        <w:spacing w:line="259" w:lineRule="auto"/>
        <w:ind w:left="708" w:right="0" w:firstLine="0"/>
        <w:jc w:val="left"/>
      </w:pPr>
      <w:r>
        <w:t xml:space="preserve"> </w:t>
      </w:r>
    </w:p>
    <w:p w:rsidR="00EB6EA5" w:rsidRDefault="003A0626">
      <w:pPr>
        <w:pStyle w:val="Ttulo1"/>
        <w:ind w:left="338" w:hanging="353"/>
      </w:pPr>
      <w:r>
        <w:t xml:space="preserve">- DA JUSTIFICATIVA DO PREÇO </w:t>
      </w:r>
    </w:p>
    <w:p w:rsidR="005775BA" w:rsidRPr="005775BA" w:rsidRDefault="005775BA" w:rsidP="005775BA"/>
    <w:p w:rsidR="00EB0699" w:rsidRDefault="00EB0699" w:rsidP="00EB0699">
      <w:pPr>
        <w:pStyle w:val="Default"/>
        <w:ind w:firstLine="33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EB0699" w:rsidRDefault="00EB0699" w:rsidP="00EB0699">
      <w:pPr>
        <w:spacing w:line="259" w:lineRule="auto"/>
        <w:ind w:right="0" w:firstLine="0"/>
        <w:jc w:val="left"/>
        <w:rPr>
          <w:sz w:val="23"/>
          <w:szCs w:val="23"/>
        </w:rPr>
      </w:pPr>
      <w:r>
        <w:rPr>
          <w:sz w:val="23"/>
          <w:szCs w:val="23"/>
        </w:rPr>
        <w:t xml:space="preserve">No caso em questão verificamos a presença de três propostas, sendo escolhida a de menor valor. </w:t>
      </w:r>
    </w:p>
    <w:p w:rsidR="00EB6EA5" w:rsidRDefault="003A0626" w:rsidP="00EB0699">
      <w:pPr>
        <w:spacing w:line="259" w:lineRule="auto"/>
        <w:ind w:right="0" w:firstLine="0"/>
        <w:jc w:val="left"/>
      </w:pPr>
      <w:r>
        <w:t xml:space="preserve"> </w:t>
      </w:r>
    </w:p>
    <w:p w:rsidR="00EB6EA5" w:rsidRDefault="003A0626">
      <w:pPr>
        <w:pStyle w:val="Ttulo1"/>
        <w:ind w:left="434" w:hanging="449"/>
      </w:pPr>
      <w:r>
        <w:t xml:space="preserve">– DA RUBRICA ORÇAMENTÁRIA </w:t>
      </w:r>
    </w:p>
    <w:p w:rsidR="005775BA" w:rsidRPr="005775BA" w:rsidRDefault="005775BA" w:rsidP="005775BA"/>
    <w:p w:rsidR="00AF3385" w:rsidRDefault="00AF3385">
      <w:pPr>
        <w:ind w:left="-15" w:right="3" w:firstLine="0"/>
      </w:pPr>
      <w:r>
        <w:t xml:space="preserve">O valor total estimado é de R$ </w:t>
      </w:r>
      <w:r w:rsidR="005775BA">
        <w:t>6.620,00</w:t>
      </w:r>
      <w:r w:rsidR="00AB48EE">
        <w:t xml:space="preserve"> (Seis mil seiscentos e vinte reais)</w:t>
      </w:r>
    </w:p>
    <w:p w:rsidR="00EB6EA5" w:rsidRDefault="003A0626">
      <w:pPr>
        <w:ind w:left="-15" w:right="3" w:firstLine="0"/>
      </w:pPr>
      <w:r>
        <w:t xml:space="preserve">As despesas decorrentes desta dispensa de licitação correrão a cargo da seguinte </w:t>
      </w:r>
      <w:r w:rsidRPr="002D55D4">
        <w:t xml:space="preserve">dotação: </w:t>
      </w:r>
      <w:r w:rsidR="002D55D4" w:rsidRPr="002D55D4">
        <w:t>Projeto Atividade 2.013</w:t>
      </w:r>
      <w:r w:rsidRPr="002D55D4">
        <w:t xml:space="preserve"> – Elemento 3.3.90 </w:t>
      </w:r>
      <w:r w:rsidR="002D55D4" w:rsidRPr="002D55D4">
        <w:t>– Despesa 25</w:t>
      </w:r>
      <w:r w:rsidRPr="002D55D4">
        <w:t xml:space="preserve"> prevista na Lei Orçamentária do Exercício de 20</w:t>
      </w:r>
      <w:r w:rsidR="00477E8E" w:rsidRPr="002D55D4">
        <w:t>21</w:t>
      </w:r>
      <w:r w:rsidRPr="002D55D4">
        <w:t>.</w:t>
      </w:r>
      <w:r>
        <w:t xml:space="preserve"> </w:t>
      </w:r>
    </w:p>
    <w:p w:rsidR="00EB6EA5" w:rsidRDefault="003A0626">
      <w:pPr>
        <w:spacing w:line="259" w:lineRule="auto"/>
        <w:ind w:right="0" w:firstLine="0"/>
        <w:jc w:val="left"/>
      </w:pPr>
      <w:r>
        <w:t xml:space="preserve"> </w:t>
      </w:r>
    </w:p>
    <w:p w:rsidR="00EB6EA5" w:rsidRDefault="003A0626">
      <w:pPr>
        <w:pStyle w:val="Ttulo1"/>
        <w:ind w:left="530" w:hanging="545"/>
      </w:pPr>
      <w:r>
        <w:t xml:space="preserve">- DA REGULARIDADE FISCAL </w:t>
      </w:r>
    </w:p>
    <w:p w:rsidR="005775BA" w:rsidRPr="005775BA" w:rsidRDefault="005775BA" w:rsidP="005775BA"/>
    <w:p w:rsidR="00486849" w:rsidRPr="00480BC0" w:rsidRDefault="00486849" w:rsidP="00486849">
      <w:pPr>
        <w:numPr>
          <w:ilvl w:val="0"/>
          <w:numId w:val="4"/>
        </w:numPr>
        <w:spacing w:after="5" w:line="248" w:lineRule="auto"/>
        <w:ind w:right="4" w:hanging="10"/>
        <w:rPr>
          <w:szCs w:val="24"/>
        </w:rPr>
      </w:pPr>
      <w:r w:rsidRPr="00480BC0">
        <w:rPr>
          <w:szCs w:val="24"/>
        </w:rPr>
        <w:t>- Prova de regularidade para com a Fazenda Federal compreendendo os Tributos administrativos pela Secretaria da Receita Fe</w:t>
      </w:r>
      <w:r>
        <w:rPr>
          <w:szCs w:val="24"/>
        </w:rPr>
        <w:t xml:space="preserve">deral, com validade para o dia </w:t>
      </w:r>
      <w:r w:rsidR="001F5CED">
        <w:rPr>
          <w:szCs w:val="24"/>
        </w:rPr>
        <w:t>14/09</w:t>
      </w:r>
      <w:r>
        <w:rPr>
          <w:szCs w:val="24"/>
        </w:rPr>
        <w:t>/2021</w:t>
      </w:r>
      <w:r w:rsidRPr="00480BC0">
        <w:rPr>
          <w:szCs w:val="24"/>
        </w:rPr>
        <w:t xml:space="preserve">. </w:t>
      </w:r>
    </w:p>
    <w:p w:rsidR="00486849" w:rsidRDefault="00486849" w:rsidP="00486849">
      <w:pPr>
        <w:numPr>
          <w:ilvl w:val="0"/>
          <w:numId w:val="4"/>
        </w:numPr>
        <w:spacing w:after="5" w:line="248" w:lineRule="auto"/>
        <w:ind w:right="4" w:hanging="10"/>
        <w:rPr>
          <w:szCs w:val="24"/>
        </w:rPr>
      </w:pPr>
      <w:r w:rsidRPr="00480BC0">
        <w:rPr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1F5CED">
        <w:rPr>
          <w:szCs w:val="24"/>
        </w:rPr>
        <w:t>17/05</w:t>
      </w:r>
      <w:r w:rsidRPr="00480BC0">
        <w:rPr>
          <w:szCs w:val="24"/>
        </w:rPr>
        <w:t>/202</w:t>
      </w:r>
      <w:r>
        <w:rPr>
          <w:szCs w:val="24"/>
        </w:rPr>
        <w:t>1</w:t>
      </w:r>
      <w:r w:rsidRPr="00480BC0">
        <w:rPr>
          <w:szCs w:val="24"/>
        </w:rPr>
        <w:t xml:space="preserve">. </w:t>
      </w:r>
    </w:p>
    <w:p w:rsidR="00486849" w:rsidRPr="00480BC0" w:rsidRDefault="00486849" w:rsidP="00486849">
      <w:pPr>
        <w:ind w:right="4" w:firstLine="0"/>
        <w:rPr>
          <w:szCs w:val="24"/>
        </w:rPr>
      </w:pPr>
      <w:r>
        <w:rPr>
          <w:szCs w:val="24"/>
        </w:rPr>
        <w:t>III</w:t>
      </w:r>
      <w:r w:rsidRPr="00480BC0">
        <w:rPr>
          <w:szCs w:val="24"/>
        </w:rPr>
        <w:t xml:space="preserve">- Prova de regularidade perante a Fazenda Municipal, comprovado com Certidão Negativa de Débito, com validade para o dia </w:t>
      </w:r>
      <w:r w:rsidR="001F5CED">
        <w:rPr>
          <w:szCs w:val="24"/>
        </w:rPr>
        <w:t>19/07</w:t>
      </w:r>
      <w:r w:rsidRPr="00480BC0">
        <w:rPr>
          <w:szCs w:val="24"/>
        </w:rPr>
        <w:t>/202</w:t>
      </w:r>
      <w:r>
        <w:rPr>
          <w:szCs w:val="24"/>
        </w:rPr>
        <w:t>1</w:t>
      </w:r>
      <w:r w:rsidRPr="00480BC0">
        <w:rPr>
          <w:szCs w:val="24"/>
        </w:rPr>
        <w:t xml:space="preserve">. </w:t>
      </w:r>
    </w:p>
    <w:p w:rsidR="00486849" w:rsidRPr="00480BC0" w:rsidRDefault="00486849" w:rsidP="00486849">
      <w:pPr>
        <w:numPr>
          <w:ilvl w:val="0"/>
          <w:numId w:val="5"/>
        </w:numPr>
        <w:spacing w:after="5" w:line="248" w:lineRule="auto"/>
        <w:ind w:right="4" w:hanging="10"/>
        <w:rPr>
          <w:szCs w:val="24"/>
        </w:rPr>
      </w:pPr>
      <w:r w:rsidRPr="00480BC0">
        <w:rPr>
          <w:szCs w:val="24"/>
        </w:rPr>
        <w:t xml:space="preserve">- Prova de regularidade perante o FGTS, comprovado com Certidão Negativa de Débito com validade para o dia </w:t>
      </w:r>
      <w:r w:rsidR="001F5CED">
        <w:rPr>
          <w:szCs w:val="24"/>
        </w:rPr>
        <w:t>10/05</w:t>
      </w:r>
      <w:r w:rsidRPr="00480BC0">
        <w:rPr>
          <w:szCs w:val="24"/>
        </w:rPr>
        <w:t>/202</w:t>
      </w:r>
      <w:r>
        <w:rPr>
          <w:szCs w:val="24"/>
        </w:rPr>
        <w:t>1</w:t>
      </w:r>
      <w:r w:rsidRPr="00480BC0">
        <w:rPr>
          <w:szCs w:val="24"/>
        </w:rPr>
        <w:t xml:space="preserve">. </w:t>
      </w:r>
    </w:p>
    <w:p w:rsidR="00486849" w:rsidRDefault="00486849" w:rsidP="00486849">
      <w:pPr>
        <w:numPr>
          <w:ilvl w:val="0"/>
          <w:numId w:val="5"/>
        </w:numPr>
        <w:spacing w:after="5" w:line="248" w:lineRule="auto"/>
        <w:ind w:right="4" w:hanging="10"/>
        <w:rPr>
          <w:szCs w:val="24"/>
        </w:rPr>
      </w:pPr>
      <w:r w:rsidRPr="00480BC0">
        <w:rPr>
          <w:szCs w:val="24"/>
        </w:rPr>
        <w:t xml:space="preserve">- Prova de regularidade perante a Justiça do trabalho, comprovado com Certidão Negativa de Débito expedida com validade para o dia </w:t>
      </w:r>
      <w:r w:rsidR="001F5CED">
        <w:rPr>
          <w:szCs w:val="24"/>
        </w:rPr>
        <w:t>16/10</w:t>
      </w:r>
      <w:r w:rsidRPr="00480BC0">
        <w:rPr>
          <w:szCs w:val="24"/>
        </w:rPr>
        <w:t>/202</w:t>
      </w:r>
      <w:r>
        <w:rPr>
          <w:szCs w:val="24"/>
        </w:rPr>
        <w:t>1</w:t>
      </w:r>
      <w:r w:rsidRPr="00480BC0">
        <w:rPr>
          <w:szCs w:val="24"/>
        </w:rPr>
        <w:t xml:space="preserve">. </w:t>
      </w:r>
    </w:p>
    <w:p w:rsidR="001F5CED" w:rsidRDefault="001F5CED" w:rsidP="001F5CED">
      <w:pPr>
        <w:spacing w:after="5" w:line="248" w:lineRule="auto"/>
        <w:ind w:left="10" w:right="4" w:firstLine="0"/>
        <w:rPr>
          <w:szCs w:val="24"/>
        </w:rPr>
      </w:pPr>
    </w:p>
    <w:p w:rsidR="001F5CED" w:rsidRDefault="001F5CED" w:rsidP="001F5CED">
      <w:pPr>
        <w:pStyle w:val="Ttulo1"/>
        <w:numPr>
          <w:ilvl w:val="0"/>
          <w:numId w:val="0"/>
        </w:numPr>
        <w:spacing w:after="5" w:line="247" w:lineRule="auto"/>
        <w:ind w:left="-5"/>
        <w:rPr>
          <w:sz w:val="21"/>
          <w:szCs w:val="21"/>
        </w:rPr>
      </w:pPr>
      <w:r>
        <w:rPr>
          <w:sz w:val="21"/>
          <w:szCs w:val="21"/>
        </w:rPr>
        <w:t>IX - DA QUALIFICAÇÃO ECONÔMICO-FINANCEIRA</w:t>
      </w:r>
    </w:p>
    <w:p w:rsidR="001F5CED" w:rsidRDefault="001F5CED" w:rsidP="001F5CED"/>
    <w:p w:rsidR="001F5CED" w:rsidRDefault="001F5CED" w:rsidP="001F5CED">
      <w:pPr>
        <w:ind w:firstLine="0"/>
      </w:pPr>
      <w:r>
        <w:t>I – Certidão de Falência, Concordata e recuperação Judicial emitida pelo eproc, com validade 04/07/2021</w:t>
      </w:r>
    </w:p>
    <w:p w:rsidR="001F5CED" w:rsidRDefault="001F5CED" w:rsidP="001F5CED">
      <w:pPr>
        <w:ind w:firstLine="0"/>
      </w:pPr>
      <w:r>
        <w:t>II –Certidão de Falência, Concordata e recuperação Judicial emitida pelo saj, com validade 04/07/2021</w:t>
      </w:r>
    </w:p>
    <w:p w:rsidR="001F5CED" w:rsidRPr="00480BC0" w:rsidRDefault="001F5CED" w:rsidP="001F5CED">
      <w:pPr>
        <w:spacing w:after="5" w:line="248" w:lineRule="auto"/>
        <w:ind w:left="10" w:right="4" w:firstLine="0"/>
        <w:rPr>
          <w:szCs w:val="24"/>
        </w:rPr>
      </w:pPr>
    </w:p>
    <w:p w:rsidR="00EB6EA5" w:rsidRDefault="003A0626">
      <w:pPr>
        <w:spacing w:line="259" w:lineRule="auto"/>
        <w:ind w:right="0" w:firstLine="0"/>
        <w:jc w:val="left"/>
      </w:pPr>
      <w:r>
        <w:t xml:space="preserve"> </w:t>
      </w:r>
    </w:p>
    <w:p w:rsidR="00EB6EA5" w:rsidRDefault="003A0626">
      <w:pPr>
        <w:pStyle w:val="Ttulo1"/>
        <w:ind w:left="350" w:hanging="365"/>
      </w:pPr>
      <w:r>
        <w:t xml:space="preserve">- CONCLUSÃO </w:t>
      </w:r>
    </w:p>
    <w:p w:rsidR="005775BA" w:rsidRPr="005775BA" w:rsidRDefault="005775BA" w:rsidP="005775BA"/>
    <w:p w:rsidR="00EB6EA5" w:rsidRDefault="003A0626">
      <w:pPr>
        <w:ind w:left="-15" w:right="3"/>
      </w:pPr>
      <w:r>
        <w:t xml:space="preserve">Assim, frente ao exposto, decide-se efetivar a presente dispensa de licitação, com fundamento no artigo 24, inciso IV, da Lei 8.666/93. </w:t>
      </w:r>
    </w:p>
    <w:p w:rsidR="00EB6EA5" w:rsidRDefault="003A0626">
      <w:pPr>
        <w:spacing w:line="259" w:lineRule="auto"/>
        <w:ind w:right="0" w:firstLine="0"/>
        <w:jc w:val="left"/>
      </w:pPr>
      <w:r>
        <w:t xml:space="preserve"> </w:t>
      </w:r>
    </w:p>
    <w:p w:rsidR="00EB6EA5" w:rsidRDefault="003A0626">
      <w:pPr>
        <w:spacing w:line="259" w:lineRule="auto"/>
        <w:ind w:right="14" w:firstLine="0"/>
        <w:jc w:val="right"/>
      </w:pPr>
      <w:r w:rsidRPr="001F5CED">
        <w:t xml:space="preserve">Cordilheira Alta/SC, </w:t>
      </w:r>
      <w:r w:rsidR="005775BA" w:rsidRPr="001F5CED">
        <w:t>10 de maio</w:t>
      </w:r>
      <w:r w:rsidR="00477E8E" w:rsidRPr="001F5CED">
        <w:t xml:space="preserve"> de 2021</w:t>
      </w:r>
      <w:r w:rsidRPr="001F5CED">
        <w:t>.</w:t>
      </w:r>
      <w:r>
        <w:t xml:space="preserve"> </w:t>
      </w:r>
    </w:p>
    <w:p w:rsidR="00EB6EA5" w:rsidRPr="00F74DE2" w:rsidRDefault="003A0626">
      <w:pPr>
        <w:spacing w:line="259" w:lineRule="auto"/>
        <w:ind w:left="62" w:right="0" w:firstLine="0"/>
        <w:jc w:val="center"/>
        <w:rPr>
          <w:szCs w:val="24"/>
        </w:rPr>
      </w:pPr>
      <w:r w:rsidRPr="00F74DE2">
        <w:rPr>
          <w:szCs w:val="24"/>
        </w:rPr>
        <w:t xml:space="preserve"> </w:t>
      </w:r>
    </w:p>
    <w:p w:rsidR="00477E8E" w:rsidRPr="00F74DE2" w:rsidRDefault="003A0626" w:rsidP="00477E8E">
      <w:pPr>
        <w:spacing w:line="259" w:lineRule="auto"/>
        <w:ind w:firstLine="0"/>
        <w:jc w:val="left"/>
        <w:rPr>
          <w:szCs w:val="24"/>
        </w:rPr>
      </w:pPr>
      <w:r w:rsidRPr="00F74DE2">
        <w:rPr>
          <w:szCs w:val="24"/>
        </w:rPr>
        <w:t xml:space="preserve"> </w:t>
      </w:r>
    </w:p>
    <w:p w:rsidR="00477E8E" w:rsidRPr="00F74DE2" w:rsidRDefault="00477E8E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Cs w:val="24"/>
          <w:lang w:eastAsia="en-US"/>
        </w:rPr>
      </w:pPr>
      <w:r w:rsidRPr="00F74DE2">
        <w:rPr>
          <w:rFonts w:eastAsia="Calibri" w:cs="BookmanOldStyle-Bold"/>
          <w:b/>
          <w:bCs/>
          <w:szCs w:val="24"/>
          <w:lang w:eastAsia="en-US"/>
        </w:rPr>
        <w:t>EMERSON VERDI</w:t>
      </w:r>
    </w:p>
    <w:p w:rsidR="00477E8E" w:rsidRPr="00F74DE2" w:rsidRDefault="00477E8E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Cs w:val="24"/>
          <w:lang w:eastAsia="en-US"/>
        </w:rPr>
      </w:pPr>
      <w:r w:rsidRPr="00F74DE2">
        <w:rPr>
          <w:rFonts w:eastAsia="Calibri" w:cs="BookmanOldStyle"/>
          <w:szCs w:val="24"/>
          <w:lang w:eastAsia="en-US"/>
        </w:rPr>
        <w:t>Presidente da Comissão Permanente de Licitações</w:t>
      </w:r>
    </w:p>
    <w:p w:rsidR="00477E8E" w:rsidRPr="00F74DE2" w:rsidRDefault="00477E8E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3652D9" w:rsidRPr="00F74DE2" w:rsidRDefault="003652D9" w:rsidP="003652D9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Cs w:val="24"/>
          <w:lang w:eastAsia="en-US"/>
        </w:rPr>
      </w:pPr>
      <w:r w:rsidRPr="00F74DE2">
        <w:rPr>
          <w:rFonts w:eastAsia="Calibri" w:cs="BookmanOldStyle-Bold"/>
          <w:b/>
          <w:bCs/>
          <w:szCs w:val="24"/>
          <w:lang w:eastAsia="en-US"/>
        </w:rPr>
        <w:t>KELY CRISTINA RANZAN</w:t>
      </w:r>
    </w:p>
    <w:p w:rsidR="00477E8E" w:rsidRPr="00F74DE2" w:rsidRDefault="00477E8E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Cs w:val="24"/>
          <w:lang w:eastAsia="en-US"/>
        </w:rPr>
      </w:pPr>
      <w:r w:rsidRPr="00F74DE2">
        <w:rPr>
          <w:rFonts w:eastAsia="Calibri" w:cs="BookmanOldStyle"/>
          <w:szCs w:val="24"/>
          <w:lang w:eastAsia="en-US"/>
        </w:rPr>
        <w:t>Membro da Comissão Permanente de Licitações</w:t>
      </w:r>
    </w:p>
    <w:p w:rsidR="00477E8E" w:rsidRDefault="00477E8E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Cs w:val="24"/>
          <w:lang w:eastAsia="en-US"/>
        </w:rPr>
      </w:pPr>
    </w:p>
    <w:p w:rsidR="003652D9" w:rsidRPr="00F74DE2" w:rsidRDefault="003652D9" w:rsidP="00477E8E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Cs w:val="24"/>
          <w:lang w:eastAsia="en-US"/>
        </w:rPr>
      </w:pPr>
      <w:r>
        <w:rPr>
          <w:rFonts w:eastAsia="Calibri" w:cs="BookmanOldStyle-Bold"/>
          <w:b/>
          <w:bCs/>
          <w:szCs w:val="24"/>
          <w:lang w:eastAsia="en-US"/>
        </w:rPr>
        <w:t>ANDRÉ RODRIGUES</w:t>
      </w:r>
    </w:p>
    <w:p w:rsidR="00477E8E" w:rsidRPr="00F74DE2" w:rsidRDefault="003652D9" w:rsidP="00477E8E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>
        <w:rPr>
          <w:rFonts w:ascii="Bookman Old Style" w:eastAsia="Calibri" w:hAnsi="Bookman Old Style" w:cs="BookmanOldStyle"/>
          <w:szCs w:val="24"/>
          <w:lang w:val="pt-BR" w:eastAsia="en-US"/>
        </w:rPr>
        <w:t>2° Suplente</w:t>
      </w:r>
      <w:r w:rsidR="00477E8E" w:rsidRPr="00F74DE2">
        <w:rPr>
          <w:rFonts w:ascii="Bookman Old Style" w:eastAsia="Calibri" w:hAnsi="Bookman Old Style" w:cs="BookmanOldStyle"/>
          <w:szCs w:val="24"/>
          <w:lang w:eastAsia="en-US"/>
        </w:rPr>
        <w:t xml:space="preserve"> da Comissão Permanente de Licitações</w:t>
      </w:r>
    </w:p>
    <w:p w:rsidR="00EB6EA5" w:rsidRDefault="00EB6EA5" w:rsidP="00477E8E">
      <w:pPr>
        <w:spacing w:line="259" w:lineRule="auto"/>
        <w:ind w:left="62" w:right="0" w:firstLine="0"/>
        <w:jc w:val="center"/>
      </w:pPr>
    </w:p>
    <w:sectPr w:rsidR="00EB6EA5" w:rsidSect="00351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1933" w:right="1558" w:bottom="1250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56" w:rsidRDefault="00AE3156">
      <w:pPr>
        <w:spacing w:line="240" w:lineRule="auto"/>
      </w:pPr>
      <w:r>
        <w:separator/>
      </w:r>
    </w:p>
  </w:endnote>
  <w:endnote w:type="continuationSeparator" w:id="0">
    <w:p w:rsidR="00AE3156" w:rsidRDefault="00AE3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D55D4" w:rsidRPr="002D55D4">
      <w:rPr>
        <w:rFonts w:ascii="Arial" w:eastAsia="Arial" w:hAnsi="Arial" w:cs="Arial"/>
        <w:noProof/>
        <w:sz w:val="20"/>
      </w:rPr>
      <w:t>4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78" w:lineRule="auto"/>
      <w:ind w:left="3291" w:right="0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EB6EA5" w:rsidRDefault="003A0626">
    <w:pPr>
      <w:spacing w:line="259" w:lineRule="auto"/>
      <w:ind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56" w:rsidRDefault="00AE3156">
      <w:pPr>
        <w:spacing w:line="240" w:lineRule="auto"/>
      </w:pPr>
      <w:r>
        <w:separator/>
      </w:r>
    </w:p>
  </w:footnote>
  <w:footnote w:type="continuationSeparator" w:id="0">
    <w:p w:rsidR="00AE3156" w:rsidRDefault="00AE31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BF" w:rsidRDefault="000D4ABF">
    <w:pPr>
      <w:pStyle w:val="Cabealho"/>
    </w:pPr>
    <w:r>
      <w:rPr>
        <w:noProof/>
        <w:lang w:eastAsia="pt-BR"/>
      </w:rPr>
      <w:drawing>
        <wp:inline distT="0" distB="0" distL="0" distR="0" wp14:anchorId="23B08918" wp14:editId="46882CFE">
          <wp:extent cx="5400040" cy="564832"/>
          <wp:effectExtent l="0" t="0" r="0" b="6985"/>
          <wp:docPr id="1" name="Imagem 1" descr="Descrição: C:\Users\01\Desktop\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Descrição: C:\Users\01\Desktop\C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4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EA5" w:rsidRDefault="003A0626">
    <w:pPr>
      <w:spacing w:line="259" w:lineRule="auto"/>
      <w:ind w:right="608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1489075</wp:posOffset>
          </wp:positionH>
          <wp:positionV relativeFrom="page">
            <wp:posOffset>431164</wp:posOffset>
          </wp:positionV>
          <wp:extent cx="4584065" cy="762000"/>
          <wp:effectExtent l="0" t="0" r="0" b="0"/>
          <wp:wrapSquare wrapText="bothSides"/>
          <wp:docPr id="5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C6A"/>
    <w:multiLevelType w:val="hybridMultilevel"/>
    <w:tmpl w:val="6C0459D8"/>
    <w:lvl w:ilvl="0" w:tplc="11D0A74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B22BA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7E185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B6FBF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24600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9024F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011F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62639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CA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4F20F7"/>
    <w:multiLevelType w:val="hybridMultilevel"/>
    <w:tmpl w:val="BFB2C92A"/>
    <w:lvl w:ilvl="0" w:tplc="0B32F530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6E3B56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7EAD8E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389C1C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7AD082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A67D84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CF20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F633C4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78F162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18559C"/>
    <w:multiLevelType w:val="hybridMultilevel"/>
    <w:tmpl w:val="0152E9E4"/>
    <w:lvl w:ilvl="0" w:tplc="858A7372">
      <w:start w:val="1"/>
      <w:numFmt w:val="upperRoman"/>
      <w:pStyle w:val="Ttulo1"/>
      <w:lvlText w:val="%1"/>
      <w:lvlJc w:val="left"/>
      <w:pPr>
        <w:ind w:left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EA9A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5430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A05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086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894D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C0CE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C080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47F4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027434"/>
    <w:multiLevelType w:val="hybridMultilevel"/>
    <w:tmpl w:val="7C7892A8"/>
    <w:lvl w:ilvl="0" w:tplc="E43C536C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4C94B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449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A4324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30F58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E2D7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763F6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C069F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E8C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8427FF"/>
    <w:multiLevelType w:val="hybridMultilevel"/>
    <w:tmpl w:val="21BEE9BA"/>
    <w:lvl w:ilvl="0" w:tplc="380A5FC8">
      <w:start w:val="1"/>
      <w:numFmt w:val="upperRoman"/>
      <w:lvlText w:val="%1"/>
      <w:lvlJc w:val="left"/>
      <w:pPr>
        <w:ind w:left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C83EA6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CA1A18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06E42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C157C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0BB86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C937E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94668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5020E4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A5"/>
    <w:rsid w:val="000059B6"/>
    <w:rsid w:val="00052E8F"/>
    <w:rsid w:val="000551FC"/>
    <w:rsid w:val="000D4ABF"/>
    <w:rsid w:val="0018050B"/>
    <w:rsid w:val="001E59D0"/>
    <w:rsid w:val="001F22AE"/>
    <w:rsid w:val="001F5CED"/>
    <w:rsid w:val="00213EF5"/>
    <w:rsid w:val="002D55D4"/>
    <w:rsid w:val="00317FF9"/>
    <w:rsid w:val="0032244D"/>
    <w:rsid w:val="00335E6D"/>
    <w:rsid w:val="00351278"/>
    <w:rsid w:val="003652D9"/>
    <w:rsid w:val="003A0626"/>
    <w:rsid w:val="003A5671"/>
    <w:rsid w:val="003B5FB4"/>
    <w:rsid w:val="004037D9"/>
    <w:rsid w:val="00415749"/>
    <w:rsid w:val="00477E8E"/>
    <w:rsid w:val="00486849"/>
    <w:rsid w:val="00501BBD"/>
    <w:rsid w:val="005775BA"/>
    <w:rsid w:val="005A08C6"/>
    <w:rsid w:val="006E47CA"/>
    <w:rsid w:val="006E7805"/>
    <w:rsid w:val="007424C1"/>
    <w:rsid w:val="00774A31"/>
    <w:rsid w:val="00785343"/>
    <w:rsid w:val="00813440"/>
    <w:rsid w:val="00840A7A"/>
    <w:rsid w:val="008759A8"/>
    <w:rsid w:val="008B453E"/>
    <w:rsid w:val="009A15BF"/>
    <w:rsid w:val="00AB0DFD"/>
    <w:rsid w:val="00AB48EE"/>
    <w:rsid w:val="00AE3156"/>
    <w:rsid w:val="00AF3385"/>
    <w:rsid w:val="00BF129D"/>
    <w:rsid w:val="00C81254"/>
    <w:rsid w:val="00DC226C"/>
    <w:rsid w:val="00DC317A"/>
    <w:rsid w:val="00DF4D54"/>
    <w:rsid w:val="00E202EB"/>
    <w:rsid w:val="00E82B32"/>
    <w:rsid w:val="00EB0699"/>
    <w:rsid w:val="00EB2456"/>
    <w:rsid w:val="00EB5DF7"/>
    <w:rsid w:val="00EB6EA5"/>
    <w:rsid w:val="00EE4B8D"/>
    <w:rsid w:val="00F11F13"/>
    <w:rsid w:val="00F17A77"/>
    <w:rsid w:val="00F7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B4C5"/>
  <w15:docId w15:val="{6D7134D5-AAD6-49B4-AA95-85076214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9" w:lineRule="auto"/>
      <w:ind w:right="2" w:firstLine="698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paragraph" w:styleId="Corpodetexto3">
    <w:name w:val="Body Text 3"/>
    <w:basedOn w:val="Normal"/>
    <w:link w:val="Corpodetexto3Char"/>
    <w:rsid w:val="00477E8E"/>
    <w:pPr>
      <w:spacing w:line="240" w:lineRule="auto"/>
      <w:ind w:right="0" w:firstLine="0"/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477E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EB0699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213EF5"/>
    <w:rPr>
      <w:rFonts w:cs="Times New Roman"/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1B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1BBD"/>
    <w:rPr>
      <w:rFonts w:ascii="Segoe UI" w:eastAsia="Bookman Old Style" w:hAnsi="Segoe UI" w:cs="Segoe UI"/>
      <w:color w:val="000000"/>
      <w:sz w:val="18"/>
      <w:szCs w:val="18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D4AB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D4ABF"/>
    <w:rPr>
      <w:rFonts w:ascii="Bookman Old Style" w:eastAsia="Bookman Old Style" w:hAnsi="Bookman Old Style" w:cs="Bookman Old Style"/>
      <w:color w:val="000000"/>
      <w:sz w:val="24"/>
    </w:rPr>
  </w:style>
  <w:style w:type="paragraph" w:styleId="Cabealho">
    <w:name w:val="header"/>
    <w:basedOn w:val="Normal"/>
    <w:link w:val="CabealhoChar"/>
    <w:uiPriority w:val="99"/>
    <w:unhideWhenUsed/>
    <w:rsid w:val="000D4ABF"/>
    <w:pPr>
      <w:tabs>
        <w:tab w:val="center" w:pos="4252"/>
        <w:tab w:val="right" w:pos="8504"/>
      </w:tabs>
      <w:spacing w:line="24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0D4ABF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1593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cp:lastModifiedBy>Usuário do Windows</cp:lastModifiedBy>
  <cp:revision>41</cp:revision>
  <cp:lastPrinted>2021-02-25T11:37:00Z</cp:lastPrinted>
  <dcterms:created xsi:type="dcterms:W3CDTF">2021-02-08T15:05:00Z</dcterms:created>
  <dcterms:modified xsi:type="dcterms:W3CDTF">2021-05-10T18:03:00Z</dcterms:modified>
</cp:coreProperties>
</file>